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5"/>
        <w:tblW w:w="0" w:type="auto"/>
        <w:jc w:val="center"/>
        <w:tblLayout w:type="fixed"/>
        <w:tblCellMar>
          <w:top w:w="0" w:type="dxa"/>
          <w:left w:w="28" w:type="dxa"/>
          <w:bottom w:w="0" w:type="dxa"/>
          <w:right w:w="28" w:type="dxa"/>
        </w:tblCellMar>
      </w:tblPr>
      <w:tblGrid>
        <w:gridCol w:w="4424"/>
        <w:gridCol w:w="1698"/>
        <w:gridCol w:w="2726"/>
      </w:tblGrid>
      <w:tr w14:paraId="721FEB65"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467" w:hRule="atLeast"/>
          <w:jc w:val="center"/>
        </w:trPr>
        <w:tc>
          <w:tcPr>
            <w:tcW w:w="4424" w:type="dxa"/>
            <w:noWrap w:val="0"/>
            <w:vAlign w:val="bottom"/>
          </w:tcPr>
          <w:p w14:paraId="2FADA389">
            <w:pPr>
              <w:suppressAutoHyphens/>
              <w:overflowPunct w:val="0"/>
              <w:autoSpaceDE w:val="0"/>
              <w:autoSpaceDN w:val="0"/>
              <w:bidi w:val="0"/>
              <w:adjustRightInd w:val="0"/>
              <w:spacing w:before="100" w:beforeAutospacing="1" w:after="100" w:afterAutospacing="1" w:line="520" w:lineRule="exact"/>
              <w:textAlignment w:val="bottom"/>
              <w:rPr>
                <w:rFonts w:hint="eastAsia" w:ascii="Times New Roman" w:hAnsi="Times New Roman" w:eastAsia="黑体"/>
                <w:color w:val="000000"/>
                <w:sz w:val="32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color w:val="auto"/>
                <w:sz w:val="32"/>
                <w:szCs w:val="32"/>
              </w:rPr>
              <w:t>附件</w:t>
            </w:r>
            <w:r>
              <w:rPr>
                <w:rFonts w:hint="eastAsia" w:ascii="Times New Roman" w:hAnsi="Times New Roman" w:eastAsia="黑体" w:cs="黑体"/>
                <w:color w:val="auto"/>
                <w:sz w:val="32"/>
                <w:szCs w:val="32"/>
                <w:lang w:val="en-US" w:eastAsia="zh-CN"/>
              </w:rPr>
              <w:t>1</w:t>
            </w:r>
          </w:p>
        </w:tc>
        <w:tc>
          <w:tcPr>
            <w:tcW w:w="4424" w:type="dxa"/>
            <w:gridSpan w:val="2"/>
            <w:noWrap w:val="0"/>
            <w:vAlign w:val="bottom"/>
          </w:tcPr>
          <w:p w14:paraId="65A13CF7">
            <w:pPr>
              <w:suppressAutoHyphens/>
              <w:wordWrap w:val="0"/>
              <w:overflowPunct w:val="0"/>
              <w:autoSpaceDE w:val="0"/>
              <w:autoSpaceDN w:val="0"/>
              <w:bidi w:val="0"/>
              <w:adjustRightInd w:val="0"/>
              <w:spacing w:before="100" w:beforeAutospacing="1" w:after="100" w:afterAutospacing="1" w:line="520" w:lineRule="exact"/>
              <w:jc w:val="right"/>
              <w:textAlignment w:val="bottom"/>
              <w:rPr>
                <w:rFonts w:ascii="Times New Roman" w:hAnsi="Times New Roman" w:eastAsia="黑体"/>
                <w:color w:val="000000"/>
                <w:sz w:val="32"/>
              </w:rPr>
            </w:pPr>
          </w:p>
        </w:tc>
      </w:tr>
      <w:tr w14:paraId="730AB801"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510" w:hRule="atLeast"/>
          <w:jc w:val="center"/>
        </w:trPr>
        <w:tc>
          <w:tcPr>
            <w:tcW w:w="8848" w:type="dxa"/>
            <w:gridSpan w:val="3"/>
            <w:noWrap w:val="0"/>
            <w:vAlign w:val="bottom"/>
          </w:tcPr>
          <w:p w14:paraId="7F894A3E">
            <w:pPr>
              <w:suppressAutoHyphens/>
              <w:overflowPunct w:val="0"/>
              <w:autoSpaceDE w:val="0"/>
              <w:autoSpaceDN w:val="0"/>
              <w:bidi w:val="0"/>
              <w:adjustRightInd w:val="0"/>
              <w:spacing w:before="100" w:beforeAutospacing="1" w:after="100" w:afterAutospacing="1" w:line="520" w:lineRule="exact"/>
              <w:jc w:val="right"/>
              <w:textAlignment w:val="bottom"/>
              <w:rPr>
                <w:rFonts w:ascii="Times New Roman" w:hAnsi="Times New Roman" w:eastAsia="黑体"/>
                <w:color w:val="000000"/>
                <w:sz w:val="32"/>
              </w:rPr>
            </w:pPr>
          </w:p>
        </w:tc>
      </w:tr>
      <w:tr w14:paraId="71F26D6C"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1048" w:hRule="atLeast"/>
          <w:jc w:val="center"/>
        </w:trPr>
        <w:tc>
          <w:tcPr>
            <w:tcW w:w="6122" w:type="dxa"/>
            <w:gridSpan w:val="2"/>
            <w:tcBorders>
              <w:bottom w:val="nil"/>
            </w:tcBorders>
            <w:noWrap w:val="0"/>
            <w:vAlign w:val="center"/>
          </w:tcPr>
          <w:p w14:paraId="7A5D4354">
            <w:pPr>
              <w:suppressAutoHyphens/>
              <w:overflowPunct w:val="0"/>
              <w:autoSpaceDE w:val="0"/>
              <w:autoSpaceDN w:val="0"/>
              <w:bidi w:val="0"/>
              <w:adjustRightInd w:val="0"/>
              <w:spacing w:line="1000" w:lineRule="exact"/>
              <w:ind w:left="735" w:leftChars="350"/>
              <w:textAlignment w:val="bottom"/>
              <w:rPr>
                <w:rFonts w:hint="eastAsia" w:ascii="Times New Roman" w:hAnsi="Times New Roman" w:eastAsia="小标宋"/>
                <w:bCs/>
                <w:color w:val="FF0000"/>
                <w:sz w:val="60"/>
                <w:szCs w:val="60"/>
              </w:rPr>
            </w:pPr>
            <w:r>
              <w:rPr>
                <w:rFonts w:hint="eastAsia" w:ascii="Times New Roman" w:hAnsi="Times New Roman" w:eastAsia="小标宋" w:cs="方正小标宋_GBK"/>
                <w:color w:val="FF0000"/>
                <w:spacing w:val="20"/>
                <w:kern w:val="20"/>
                <w:sz w:val="60"/>
                <w:szCs w:val="60"/>
              </w:rPr>
              <w:t>全民科学素质纲要</w:t>
            </w:r>
          </w:p>
        </w:tc>
        <w:tc>
          <w:tcPr>
            <w:tcW w:w="2726" w:type="dxa"/>
            <w:vMerge w:val="restart"/>
            <w:noWrap w:val="0"/>
            <w:vAlign w:val="center"/>
          </w:tcPr>
          <w:p w14:paraId="7743B939">
            <w:pPr>
              <w:suppressAutoHyphens/>
              <w:overflowPunct w:val="0"/>
              <w:autoSpaceDE w:val="0"/>
              <w:autoSpaceDN w:val="0"/>
              <w:bidi w:val="0"/>
              <w:adjustRightInd w:val="0"/>
              <w:spacing w:line="300" w:lineRule="atLeast"/>
              <w:ind w:left="147" w:leftChars="70" w:right="21" w:rightChars="10"/>
              <w:textAlignment w:val="bottom"/>
              <w:rPr>
                <w:rFonts w:hint="eastAsia" w:ascii="Times New Roman" w:hAnsi="Times New Roman" w:eastAsia="小标宋"/>
                <w:color w:val="FF0000"/>
                <w:spacing w:val="-30"/>
                <w:w w:val="80"/>
                <w:sz w:val="70"/>
                <w:szCs w:val="70"/>
              </w:rPr>
            </w:pPr>
            <w:r>
              <w:rPr>
                <w:rFonts w:hint="eastAsia" w:ascii="Times New Roman" w:hAnsi="Times New Roman" w:eastAsia="小标宋" w:cs="方正小标宋_GBK"/>
                <w:color w:val="FF0000"/>
                <w:spacing w:val="175"/>
                <w:kern w:val="0"/>
                <w:sz w:val="70"/>
                <w:szCs w:val="70"/>
              </w:rPr>
              <w:t>文</w:t>
            </w:r>
            <w:r>
              <w:rPr>
                <w:rFonts w:hint="eastAsia" w:ascii="Times New Roman" w:hAnsi="Times New Roman" w:eastAsia="小标宋" w:cs="方正小标宋_GBK"/>
                <w:color w:val="FF0000"/>
                <w:kern w:val="0"/>
                <w:sz w:val="70"/>
                <w:szCs w:val="70"/>
              </w:rPr>
              <w:t>件</w:t>
            </w:r>
          </w:p>
        </w:tc>
      </w:tr>
      <w:tr w14:paraId="7AEA778E"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935" w:hRule="atLeast"/>
          <w:jc w:val="center"/>
        </w:trPr>
        <w:tc>
          <w:tcPr>
            <w:tcW w:w="6122" w:type="dxa"/>
            <w:gridSpan w:val="2"/>
            <w:tcBorders>
              <w:bottom w:val="nil"/>
            </w:tcBorders>
            <w:noWrap w:val="0"/>
            <w:vAlign w:val="center"/>
          </w:tcPr>
          <w:p w14:paraId="1F78752D">
            <w:pPr>
              <w:suppressAutoHyphens/>
              <w:overflowPunct w:val="0"/>
              <w:autoSpaceDE w:val="0"/>
              <w:autoSpaceDN w:val="0"/>
              <w:bidi w:val="0"/>
              <w:adjustRightInd w:val="0"/>
              <w:spacing w:line="1000" w:lineRule="exact"/>
              <w:ind w:left="735" w:leftChars="350"/>
              <w:textAlignment w:val="bottom"/>
              <w:rPr>
                <w:rFonts w:hint="eastAsia" w:ascii="Times New Roman" w:hAnsi="Times New Roman" w:eastAsia="小标宋"/>
                <w:color w:val="FF0000"/>
                <w:sz w:val="60"/>
                <w:szCs w:val="60"/>
              </w:rPr>
            </w:pPr>
            <w:r>
              <w:rPr>
                <w:rFonts w:hint="eastAsia" w:ascii="Times New Roman" w:hAnsi="Times New Roman" w:eastAsia="小标宋" w:cs="方正小标宋_GBK"/>
                <w:color w:val="FF0000"/>
                <w:spacing w:val="66"/>
                <w:kern w:val="0"/>
                <w:sz w:val="60"/>
                <w:szCs w:val="60"/>
              </w:rPr>
              <w:t>实施工作办公室</w:t>
            </w:r>
          </w:p>
        </w:tc>
        <w:tc>
          <w:tcPr>
            <w:tcW w:w="2726" w:type="dxa"/>
            <w:vMerge w:val="continue"/>
            <w:noWrap w:val="0"/>
            <w:vAlign w:val="center"/>
          </w:tcPr>
          <w:p w14:paraId="41EBC6D4">
            <w:pPr>
              <w:suppressAutoHyphens/>
              <w:overflowPunct w:val="0"/>
              <w:autoSpaceDE w:val="0"/>
              <w:autoSpaceDN w:val="0"/>
              <w:bidi w:val="0"/>
              <w:adjustRightInd w:val="0"/>
              <w:spacing w:line="240" w:lineRule="atLeast"/>
              <w:jc w:val="center"/>
              <w:textAlignment w:val="bottom"/>
              <w:rPr>
                <w:rFonts w:hint="eastAsia" w:ascii="Times New Roman" w:hAnsi="Times New Roman" w:eastAsia="方正小标宋简体"/>
                <w:color w:val="FF0000"/>
                <w:sz w:val="90"/>
              </w:rPr>
            </w:pPr>
          </w:p>
        </w:tc>
      </w:tr>
      <w:tr w14:paraId="09AD6A8C"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510" w:hRule="atLeast"/>
          <w:jc w:val="center"/>
        </w:trPr>
        <w:tc>
          <w:tcPr>
            <w:tcW w:w="8848" w:type="dxa"/>
            <w:gridSpan w:val="3"/>
            <w:noWrap w:val="0"/>
            <w:vAlign w:val="top"/>
          </w:tcPr>
          <w:p w14:paraId="314560B7">
            <w:pPr>
              <w:suppressAutoHyphens/>
              <w:overflowPunct w:val="0"/>
              <w:autoSpaceDE w:val="0"/>
              <w:autoSpaceDN w:val="0"/>
              <w:bidi w:val="0"/>
              <w:adjustRightInd w:val="0"/>
              <w:spacing w:line="420" w:lineRule="exact"/>
              <w:jc w:val="center"/>
              <w:textAlignment w:val="bottom"/>
              <w:rPr>
                <w:rFonts w:ascii="Times New Roman" w:hAnsi="Times New Roman" w:eastAsia="仿宋_GB2312"/>
                <w:color w:val="000000"/>
                <w:sz w:val="24"/>
                <w:szCs w:val="20"/>
              </w:rPr>
            </w:pPr>
          </w:p>
        </w:tc>
      </w:tr>
      <w:tr w14:paraId="648017B8"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599" w:hRule="atLeast"/>
          <w:jc w:val="center"/>
        </w:trPr>
        <w:tc>
          <w:tcPr>
            <w:tcW w:w="8848" w:type="dxa"/>
            <w:gridSpan w:val="3"/>
            <w:tcBorders>
              <w:top w:val="nil"/>
              <w:left w:val="nil"/>
              <w:bottom w:val="single" w:color="FF0000" w:sz="12" w:space="0"/>
              <w:right w:val="nil"/>
            </w:tcBorders>
            <w:noWrap w:val="0"/>
            <w:vAlign w:val="bottom"/>
          </w:tcPr>
          <w:p w14:paraId="4B5373D8">
            <w:pPr>
              <w:suppressAutoHyphens/>
              <w:overflowPunct w:val="0"/>
              <w:autoSpaceDE w:val="0"/>
              <w:autoSpaceDN w:val="0"/>
              <w:bidi w:val="0"/>
              <w:adjustRightInd w:val="0"/>
              <w:ind w:left="231" w:leftChars="110" w:right="231" w:rightChars="110"/>
              <w:jc w:val="center"/>
              <w:textAlignment w:val="bottom"/>
              <w:rPr>
                <w:rFonts w:ascii="Times New Roman" w:hAnsi="Times New Roman" w:eastAsia="楷体_GB2312"/>
                <w:color w:val="00000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/>
                <w:color w:val="000000"/>
                <w:sz w:val="32"/>
                <w:szCs w:val="32"/>
              </w:rPr>
              <w:t>纲要办发〔</w:t>
            </w:r>
            <w:r>
              <w:rPr>
                <w:rFonts w:ascii="Times New Roman" w:hAnsi="Times New Roman" w:eastAsia="仿宋_GB2312"/>
                <w:color w:val="000000"/>
                <w:sz w:val="32"/>
                <w:szCs w:val="32"/>
              </w:rPr>
              <w:t>2026</w:t>
            </w:r>
            <w:r>
              <w:rPr>
                <w:rFonts w:hint="eastAsia" w:ascii="Times New Roman" w:hAnsi="Times New Roman" w:eastAsia="仿宋_GB2312"/>
                <w:color w:val="000000"/>
                <w:sz w:val="32"/>
                <w:szCs w:val="32"/>
              </w:rPr>
              <w:t>〕</w:t>
            </w:r>
            <w:r>
              <w:rPr>
                <w:rFonts w:ascii="Times New Roman" w:hAnsi="Times New Roman" w:eastAsia="仿宋_GB2312"/>
                <w:color w:val="000000"/>
                <w:sz w:val="32"/>
                <w:szCs w:val="32"/>
              </w:rPr>
              <w:t>2</w:t>
            </w:r>
            <w:r>
              <w:rPr>
                <w:rFonts w:hint="eastAsia" w:ascii="Times New Roman" w:hAnsi="Times New Roman" w:eastAsia="仿宋_GB2312"/>
                <w:color w:val="000000"/>
                <w:sz w:val="32"/>
                <w:szCs w:val="32"/>
              </w:rPr>
              <w:t>号</w:t>
            </w:r>
          </w:p>
        </w:tc>
      </w:tr>
      <w:tr w14:paraId="105636E1"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1665" w:hRule="atLeast"/>
          <w:jc w:val="center"/>
        </w:trPr>
        <w:tc>
          <w:tcPr>
            <w:tcW w:w="8848" w:type="dxa"/>
            <w:gridSpan w:val="3"/>
            <w:tcBorders>
              <w:top w:val="single" w:color="FF0000" w:sz="12" w:space="0"/>
              <w:bottom w:val="nil"/>
            </w:tcBorders>
            <w:noWrap w:val="0"/>
            <w:vAlign w:val="top"/>
          </w:tcPr>
          <w:p w14:paraId="2B094E4A">
            <w:pPr>
              <w:suppressAutoHyphens/>
              <w:overflowPunct w:val="0"/>
              <w:autoSpaceDE w:val="0"/>
              <w:autoSpaceDN w:val="0"/>
              <w:bidi w:val="0"/>
              <w:adjustRightInd w:val="0"/>
              <w:spacing w:before="624" w:beforeLines="200" w:after="312" w:afterLines="100" w:line="700" w:lineRule="exact"/>
              <w:jc w:val="center"/>
              <w:textAlignment w:val="bottom"/>
              <w:rPr>
                <w:rFonts w:ascii="Times New Roman" w:hAnsi="Times New Roman" w:eastAsia="小标宋"/>
                <w:color w:val="000000"/>
                <w:sz w:val="44"/>
                <w:szCs w:val="44"/>
              </w:rPr>
            </w:pPr>
            <w:r>
              <w:rPr>
                <w:rFonts w:hint="eastAsia" w:ascii="Times New Roman" w:hAnsi="Times New Roman" w:eastAsia="小标宋"/>
                <w:color w:val="000000"/>
                <w:sz w:val="44"/>
                <w:szCs w:val="44"/>
              </w:rPr>
              <w:t>全民科学素质纲要实施工作办公室关于</w:t>
            </w:r>
            <w:r>
              <w:rPr>
                <w:rFonts w:hint="eastAsia" w:ascii="Times New Roman" w:hAnsi="Times New Roman" w:eastAsia="小标宋"/>
                <w:color w:val="000000"/>
                <w:sz w:val="44"/>
                <w:szCs w:val="44"/>
              </w:rPr>
              <w:br w:type="textWrapping"/>
            </w:r>
            <w:r>
              <w:rPr>
                <w:rFonts w:hint="eastAsia" w:ascii="Times New Roman" w:hAnsi="Times New Roman" w:eastAsia="小标宋"/>
                <w:color w:val="000000"/>
                <w:sz w:val="44"/>
                <w:szCs w:val="44"/>
              </w:rPr>
              <w:t>开展2026全国优质科普作品征集活动的通知</w:t>
            </w:r>
          </w:p>
        </w:tc>
      </w:tr>
    </w:tbl>
    <w:p w14:paraId="623A9473">
      <w:pPr>
        <w:suppressAutoHyphens/>
        <w:bidi w:val="0"/>
        <w:spacing w:line="560" w:lineRule="exact"/>
        <w:rPr>
          <w:rFonts w:hint="eastAsia" w:ascii="Times New Roman" w:hAnsi="Times New Roman" w:eastAsia="仿宋_GB2312" w:cs="仿宋_GB2312"/>
          <w:sz w:val="32"/>
          <w:szCs w:val="32"/>
        </w:rPr>
      </w:pPr>
      <w:r>
        <w:rPr>
          <w:rFonts w:ascii="Times New Roman" w:hAnsi="Times New Roman" w:eastAsia="仿宋_GB2312" w:cs="仿宋_GB2312"/>
          <w:color w:val="000000"/>
          <w:kern w:val="0"/>
          <w:sz w:val="32"/>
          <w:szCs w:val="32"/>
          <w:lang w:bidi="ar"/>
        </w:rPr>
        <w:t>全民科学素质纲要实施工作办公室各成员单位</w:t>
      </w:r>
      <w:r>
        <w:rPr>
          <w:rFonts w:hint="eastAsia" w:ascii="Times New Roman" w:hAnsi="Times New Roman" w:eastAsia="仿宋_GB2312" w:cs="仿宋_GB2312"/>
          <w:color w:val="000000"/>
          <w:kern w:val="0"/>
          <w:sz w:val="32"/>
          <w:szCs w:val="32"/>
          <w:lang w:bidi="ar"/>
        </w:rPr>
        <w:t>，</w:t>
      </w:r>
      <w:r>
        <w:rPr>
          <w:rFonts w:ascii="Times New Roman" w:hAnsi="Times New Roman" w:eastAsia="仿宋_GB2312" w:cs="仿宋_GB2312"/>
          <w:color w:val="000000"/>
          <w:kern w:val="0"/>
          <w:sz w:val="32"/>
          <w:szCs w:val="32"/>
          <w:lang w:bidi="ar"/>
        </w:rPr>
        <w:t>各省、自治区、直辖市纲要办（科协），新疆生产</w:t>
      </w:r>
      <w:r>
        <w:rPr>
          <w:rFonts w:hint="eastAsia" w:ascii="Times New Roman" w:hAnsi="Times New Roman" w:eastAsia="仿宋_GB2312" w:cs="仿宋_GB2312"/>
          <w:color w:val="000000"/>
          <w:kern w:val="0"/>
          <w:sz w:val="32"/>
          <w:szCs w:val="32"/>
          <w:lang w:bidi="ar"/>
        </w:rPr>
        <w:t>建设兵团纲要办（科协），</w:t>
      </w:r>
      <w:r>
        <w:rPr>
          <w:rFonts w:hint="eastAsia" w:ascii="Times New Roman" w:hAnsi="Times New Roman" w:eastAsia="仿宋_GB2312" w:cs="仿宋_GB2312"/>
          <w:sz w:val="32"/>
          <w:szCs w:val="32"/>
        </w:rPr>
        <w:t>中国科协所属各全国学会、协会、研究会，高校科协、企业科协、园区科协，各有关单位：</w:t>
      </w:r>
    </w:p>
    <w:p w14:paraId="6277AFCE">
      <w:pPr>
        <w:suppressAutoHyphens/>
        <w:bidi w:val="0"/>
        <w:spacing w:line="580" w:lineRule="exact"/>
        <w:ind w:firstLine="640" w:firstLineChars="200"/>
        <w:rPr>
          <w:rFonts w:ascii="Times New Roman" w:hAnsi="Times New Roman"/>
        </w:rPr>
      </w:pPr>
      <w:r>
        <w:rPr>
          <w:rFonts w:hint="eastAsia" w:ascii="Times New Roman" w:hAnsi="Times New Roman" w:eastAsia="仿宋_GB2312" w:cs="仿宋_GB2312"/>
          <w:sz w:val="32"/>
          <w:szCs w:val="32"/>
        </w:rPr>
        <w:t>为</w:t>
      </w:r>
      <w:r>
        <w:rPr>
          <w:rFonts w:hint="eastAsia" w:ascii="Times New Roman" w:hAnsi="Times New Roman" w:eastAsia="仿宋_GB2312"/>
          <w:sz w:val="32"/>
          <w:szCs w:val="32"/>
        </w:rPr>
        <w:t>深入贯彻落实</w:t>
      </w:r>
      <w:r>
        <w:rPr>
          <w:rFonts w:hint="eastAsia" w:ascii="Times New Roman" w:hAnsi="Times New Roman" w:eastAsia="仿宋_GB2312" w:cs="仿宋_GB2312"/>
          <w:spacing w:val="-6"/>
          <w:sz w:val="32"/>
          <w:szCs w:val="32"/>
        </w:rPr>
        <w:t>习近平总书记关于科学普及</w:t>
      </w:r>
      <w:r>
        <w:rPr>
          <w:rFonts w:ascii="Times New Roman" w:hAnsi="Times New Roman" w:eastAsia="仿宋_GB2312" w:cs="仿宋_GB2312"/>
          <w:spacing w:val="-6"/>
          <w:sz w:val="32"/>
          <w:szCs w:val="32"/>
        </w:rPr>
        <w:t>的</w:t>
      </w:r>
      <w:r>
        <w:rPr>
          <w:rFonts w:hint="eastAsia" w:ascii="Times New Roman" w:hAnsi="Times New Roman" w:eastAsia="仿宋_GB2312" w:cs="仿宋_GB2312"/>
          <w:spacing w:val="-6"/>
          <w:sz w:val="32"/>
          <w:szCs w:val="32"/>
        </w:rPr>
        <w:t>重要论述</w:t>
      </w:r>
      <w:r>
        <w:rPr>
          <w:rFonts w:ascii="Times New Roman" w:hAnsi="Times New Roman" w:eastAsia="仿宋_GB2312" w:cs="仿宋_GB2312"/>
          <w:spacing w:val="-6"/>
          <w:sz w:val="32"/>
          <w:szCs w:val="32"/>
        </w:rPr>
        <w:t>精神</w:t>
      </w:r>
      <w:r>
        <w:rPr>
          <w:rFonts w:hint="eastAsia" w:ascii="Times New Roman" w:hAnsi="Times New Roman" w:eastAsia="仿宋_GB2312" w:cs="仿宋_GB2312"/>
          <w:spacing w:val="-6"/>
          <w:sz w:val="32"/>
          <w:szCs w:val="32"/>
        </w:rPr>
        <w:t>，</w:t>
      </w:r>
      <w:r>
        <w:rPr>
          <w:rFonts w:hint="eastAsia" w:ascii="Times New Roman" w:hAnsi="Times New Roman" w:eastAsia="仿宋_GB2312" w:cs="仿宋_GB2312"/>
          <w:sz w:val="32"/>
          <w:szCs w:val="32"/>
        </w:rPr>
        <w:t>贯彻落实《中华人民共和国科学技术普及法》</w:t>
      </w:r>
      <w:r>
        <w:rPr>
          <w:rFonts w:hint="eastAsia" w:ascii="Times New Roman" w:hAnsi="Times New Roman" w:eastAsia="仿宋_GB2312" w:cs="仿宋_GB2312"/>
          <w:sz w:val="32"/>
          <w:szCs w:val="32"/>
          <w:lang w:bidi="ar"/>
        </w:rPr>
        <w:t>《全民科学素质行动规划纲要（2021—2035年）》</w:t>
      </w:r>
      <w:r>
        <w:rPr>
          <w:rFonts w:hint="eastAsia" w:ascii="Times New Roman" w:hAnsi="Times New Roman" w:eastAsia="仿宋_GB2312" w:cs="仿宋_GB2312"/>
          <w:sz w:val="32"/>
          <w:szCs w:val="32"/>
        </w:rPr>
        <w:t>，积极汇聚优质科普资源，广泛动员社会力量开展科普实践，着力破解</w:t>
      </w:r>
      <w:r>
        <w:rPr>
          <w:rStyle w:val="8"/>
          <w:rFonts w:hint="eastAsia" w:ascii="Times New Roman" w:hAnsi="Times New Roman" w:eastAsia="仿宋_GB2312" w:cs="仿宋_GB2312"/>
          <w:i w:val="0"/>
          <w:sz w:val="32"/>
          <w:szCs w:val="32"/>
          <w:lang w:bidi="ar"/>
        </w:rPr>
        <w:t>科普内容供给与时代发展、公众需求匹配不足的矛盾</w:t>
      </w:r>
      <w:r>
        <w:rPr>
          <w:rFonts w:hint="eastAsia" w:ascii="Times New Roman" w:hAnsi="Times New Roman" w:eastAsia="仿宋_GB2312" w:cs="仿宋_GB2312"/>
          <w:sz w:val="32"/>
          <w:szCs w:val="32"/>
        </w:rPr>
        <w:t>，培育和发展科普产业，服务科普工作高质量发展，决定组织开展2026全国优质科普作品征集活动。现将</w:t>
      </w:r>
      <w:r>
        <w:rPr>
          <w:rFonts w:ascii="Times New Roman" w:hAnsi="Times New Roman" w:eastAsia="仿宋_GB2312" w:cs="仿宋_GB2312"/>
          <w:sz w:val="32"/>
          <w:szCs w:val="32"/>
        </w:rPr>
        <w:t>有关事项通知如下。</w:t>
      </w:r>
    </w:p>
    <w:p w14:paraId="6D7A7E60">
      <w:pPr>
        <w:pStyle w:val="2"/>
        <w:keepNext w:val="0"/>
        <w:keepLines w:val="0"/>
        <w:suppressAutoHyphens/>
        <w:bidi w:val="0"/>
        <w:spacing w:line="580" w:lineRule="exact"/>
        <w:ind w:firstLine="640"/>
        <w:rPr>
          <w:rFonts w:hint="eastAsia" w:ascii="Times New Roman" w:hAnsi="Times New Roman"/>
        </w:rPr>
      </w:pPr>
      <w:r>
        <w:rPr>
          <w:rFonts w:hint="eastAsia" w:ascii="Times New Roman" w:hAnsi="Times New Roman"/>
        </w:rPr>
        <w:t>一、征集对象</w:t>
      </w:r>
    </w:p>
    <w:p w14:paraId="5CD49C5E">
      <w:pPr>
        <w:suppressAutoHyphens/>
        <w:bidi w:val="0"/>
        <w:spacing w:line="580" w:lineRule="exact"/>
        <w:ind w:firstLine="640" w:firstLineChars="200"/>
        <w:rPr>
          <w:rFonts w:hint="eastAsia" w:ascii="Times New Roman" w:hAnsi="Times New Roman" w:eastAsia="仿宋_GB2312" w:cs="仿宋_GB2312"/>
          <w:sz w:val="32"/>
          <w:szCs w:val="32"/>
        </w:rPr>
      </w:pPr>
      <w:r>
        <w:rPr>
          <w:rFonts w:hint="eastAsia" w:ascii="Times New Roman" w:hAnsi="Times New Roman" w:eastAsia="仿宋_GB2312" w:cs="仿宋_GB2312"/>
          <w:sz w:val="32"/>
          <w:szCs w:val="32"/>
        </w:rPr>
        <w:t>（一）</w:t>
      </w:r>
      <w:r>
        <w:rPr>
          <w:rStyle w:val="7"/>
          <w:rFonts w:hint="eastAsia" w:ascii="Times New Roman" w:hAnsi="Times New Roman" w:eastAsia="仿宋_GB2312" w:cs="仿宋_GB2312"/>
          <w:b w:val="0"/>
          <w:bCs/>
          <w:kern w:val="0"/>
          <w:sz w:val="32"/>
          <w:szCs w:val="32"/>
          <w:lang w:bidi="ar"/>
        </w:rPr>
        <w:t>全民科学素质纲要实施工作办公室成员单位；</w:t>
      </w:r>
      <w:r>
        <w:rPr>
          <w:rFonts w:ascii="Times New Roman" w:hAnsi="Times New Roman" w:cs="宋体"/>
          <w:kern w:val="0"/>
          <w:sz w:val="24"/>
          <w:lang w:bidi="ar"/>
        </w:rPr>
        <w:t>‌</w:t>
      </w:r>
    </w:p>
    <w:p w14:paraId="3246A79A">
      <w:pPr>
        <w:suppressAutoHyphens/>
        <w:bidi w:val="0"/>
        <w:spacing w:line="580" w:lineRule="exact"/>
        <w:ind w:firstLine="640" w:firstLineChars="200"/>
        <w:rPr>
          <w:rFonts w:hint="eastAsia" w:ascii="Times New Roman" w:hAnsi="Times New Roman" w:eastAsia="仿宋_GB2312" w:cs="仿宋_GB2312"/>
          <w:sz w:val="32"/>
          <w:szCs w:val="32"/>
        </w:rPr>
      </w:pPr>
      <w:r>
        <w:rPr>
          <w:rFonts w:hint="eastAsia" w:ascii="Times New Roman" w:hAnsi="Times New Roman" w:eastAsia="仿宋_GB2312" w:cs="仿宋_GB2312"/>
          <w:sz w:val="32"/>
          <w:szCs w:val="32"/>
        </w:rPr>
        <w:t>（二）全国学会、协会、研究会；</w:t>
      </w:r>
    </w:p>
    <w:p w14:paraId="48488925">
      <w:pPr>
        <w:suppressAutoHyphens/>
        <w:bidi w:val="0"/>
        <w:spacing w:line="580" w:lineRule="exact"/>
        <w:ind w:firstLine="640" w:firstLineChars="200"/>
        <w:rPr>
          <w:rFonts w:hint="eastAsia" w:ascii="Times New Roman" w:hAnsi="Times New Roman" w:eastAsia="仿宋_GB2312" w:cs="仿宋_GB2312"/>
          <w:sz w:val="32"/>
          <w:szCs w:val="32"/>
        </w:rPr>
      </w:pPr>
      <w:r>
        <w:rPr>
          <w:rFonts w:hint="eastAsia" w:ascii="Times New Roman" w:hAnsi="Times New Roman" w:eastAsia="仿宋_GB2312" w:cs="仿宋_GB2312"/>
          <w:sz w:val="32"/>
          <w:szCs w:val="32"/>
        </w:rPr>
        <w:t>（三）省级科协；</w:t>
      </w:r>
    </w:p>
    <w:p w14:paraId="3AEB5B90">
      <w:pPr>
        <w:suppressAutoHyphens/>
        <w:bidi w:val="0"/>
        <w:spacing w:line="580" w:lineRule="exact"/>
        <w:ind w:firstLine="640" w:firstLineChars="200"/>
        <w:rPr>
          <w:rFonts w:hint="eastAsia" w:ascii="Times New Roman" w:hAnsi="Times New Roman" w:eastAsia="仿宋_GB2312" w:cs="仿宋_GB2312"/>
          <w:sz w:val="32"/>
          <w:szCs w:val="32"/>
        </w:rPr>
      </w:pPr>
      <w:r>
        <w:rPr>
          <w:rFonts w:hint="eastAsia" w:ascii="Times New Roman" w:hAnsi="Times New Roman" w:eastAsia="仿宋_GB2312" w:cs="仿宋_GB2312"/>
          <w:sz w:val="32"/>
          <w:szCs w:val="32"/>
        </w:rPr>
        <w:t>（四）高校科协、园区（企业）科协；</w:t>
      </w:r>
    </w:p>
    <w:p w14:paraId="334A97CD">
      <w:pPr>
        <w:suppressAutoHyphens/>
        <w:bidi w:val="0"/>
        <w:spacing w:line="580" w:lineRule="exact"/>
        <w:ind w:firstLine="640" w:firstLineChars="200"/>
        <w:rPr>
          <w:rFonts w:hint="eastAsia" w:ascii="Times New Roman" w:hAnsi="Times New Roman" w:eastAsia="仿宋_GB2312" w:cs="仿宋_GB2312"/>
          <w:sz w:val="32"/>
          <w:szCs w:val="32"/>
        </w:rPr>
      </w:pPr>
      <w:r>
        <w:rPr>
          <w:rFonts w:hint="eastAsia" w:ascii="Times New Roman" w:hAnsi="Times New Roman" w:eastAsia="仿宋_GB2312" w:cs="仿宋_GB2312"/>
          <w:sz w:val="32"/>
          <w:szCs w:val="32"/>
        </w:rPr>
        <w:t>（五）其他具有独立法人资格的出版传媒、科技研发、文创设计、科普服务企事业单位。</w:t>
      </w:r>
    </w:p>
    <w:p w14:paraId="074E5511">
      <w:pPr>
        <w:pStyle w:val="2"/>
        <w:keepNext w:val="0"/>
        <w:keepLines w:val="0"/>
        <w:suppressAutoHyphens/>
        <w:bidi w:val="0"/>
        <w:spacing w:line="580" w:lineRule="exact"/>
        <w:ind w:firstLine="640"/>
        <w:rPr>
          <w:rFonts w:hint="eastAsia" w:ascii="Times New Roman" w:hAnsi="Times New Roman"/>
        </w:rPr>
      </w:pPr>
      <w:r>
        <w:rPr>
          <w:rFonts w:hint="eastAsia" w:ascii="Times New Roman" w:hAnsi="Times New Roman"/>
        </w:rPr>
        <w:t>二、征集作品内容</w:t>
      </w:r>
    </w:p>
    <w:p w14:paraId="3EF13ABF">
      <w:pPr>
        <w:suppressAutoHyphens/>
        <w:bidi w:val="0"/>
        <w:spacing w:line="580" w:lineRule="exact"/>
        <w:ind w:firstLine="640" w:firstLineChars="200"/>
        <w:rPr>
          <w:rFonts w:hint="eastAsia" w:ascii="Times New Roman" w:hAnsi="Times New Roman" w:eastAsia="仿宋_GB2312" w:cs="仿宋_GB2312"/>
          <w:sz w:val="32"/>
          <w:szCs w:val="32"/>
        </w:rPr>
      </w:pPr>
      <w:r>
        <w:rPr>
          <w:rFonts w:hint="eastAsia" w:ascii="Times New Roman" w:hAnsi="Times New Roman" w:eastAsia="仿宋_GB2312" w:cs="仿宋_GB2312"/>
          <w:sz w:val="32"/>
          <w:szCs w:val="32"/>
        </w:rPr>
        <w:t>重点征集科学性、原创性、传播性兼具，内容新颖、非人工智能批量生成的优质科普作品：</w:t>
      </w:r>
    </w:p>
    <w:p w14:paraId="410248E3">
      <w:pPr>
        <w:suppressAutoHyphens/>
        <w:bidi w:val="0"/>
        <w:adjustRightInd w:val="0"/>
        <w:snapToGrid w:val="0"/>
        <w:spacing w:line="580" w:lineRule="exact"/>
        <w:ind w:firstLine="640" w:firstLineChars="200"/>
        <w:rPr>
          <w:rFonts w:hint="eastAsia" w:ascii="Times New Roman" w:hAnsi="Times New Roman" w:eastAsia="仿宋_GB2312" w:cs="仿宋_GB2312"/>
          <w:bCs/>
          <w:sz w:val="32"/>
          <w:szCs w:val="32"/>
          <w:lang w:bidi="ar"/>
        </w:rPr>
      </w:pPr>
      <w:r>
        <w:rPr>
          <w:rFonts w:hint="eastAsia" w:ascii="Times New Roman" w:hAnsi="Times New Roman" w:eastAsia="楷体_GB2312" w:cs="楷体_GB2312"/>
          <w:bCs/>
          <w:sz w:val="32"/>
          <w:szCs w:val="32"/>
          <w:lang w:bidi="ar"/>
        </w:rPr>
        <w:t>（一）基础科学普及。</w:t>
      </w:r>
      <w:r>
        <w:rPr>
          <w:rFonts w:hint="eastAsia" w:ascii="Times New Roman" w:hAnsi="Times New Roman" w:eastAsia="仿宋_GB2312" w:cs="仿宋_GB2312"/>
          <w:bCs/>
          <w:sz w:val="32"/>
          <w:szCs w:val="32"/>
          <w:lang w:bidi="ar"/>
        </w:rPr>
        <w:t>聚焦数学、物理、化学、生物、天文、地理等基础学科的核心概念、基本原理，鼓励学科交叉融合，兼具知识性、趣味性、启蒙性。</w:t>
      </w:r>
    </w:p>
    <w:p w14:paraId="7B9A3BBD">
      <w:pPr>
        <w:suppressAutoHyphens/>
        <w:bidi w:val="0"/>
        <w:spacing w:line="580" w:lineRule="exact"/>
        <w:ind w:firstLine="640" w:firstLineChars="200"/>
        <w:rPr>
          <w:rFonts w:hint="eastAsia" w:ascii="Times New Roman" w:hAnsi="Times New Roman" w:eastAsia="仿宋_GB2312" w:cs="仿宋_GB2312"/>
          <w:sz w:val="32"/>
          <w:szCs w:val="32"/>
        </w:rPr>
      </w:pPr>
      <w:r>
        <w:rPr>
          <w:rFonts w:hint="eastAsia" w:ascii="Times New Roman" w:hAnsi="Times New Roman" w:eastAsia="楷体_GB2312" w:cs="楷体_GB2312"/>
          <w:bCs/>
          <w:sz w:val="32"/>
          <w:szCs w:val="32"/>
          <w:lang w:bidi="ar"/>
        </w:rPr>
        <w:t>（二）前沿科技领域。</w:t>
      </w:r>
      <w:r>
        <w:rPr>
          <w:rFonts w:hint="eastAsia" w:ascii="Times New Roman" w:hAnsi="Times New Roman" w:eastAsia="仿宋_GB2312" w:cs="仿宋_GB2312"/>
          <w:sz w:val="32"/>
          <w:szCs w:val="32"/>
        </w:rPr>
        <w:t>围绕人工智能、量子信息、新一代信息技术、生物技术、新材料、先进制造与机器人、空天科技、深海科技、新能源等前沿科技领域和交叉</w:t>
      </w:r>
      <w:r>
        <w:rPr>
          <w:rFonts w:ascii="Times New Roman" w:hAnsi="Times New Roman" w:eastAsia="仿宋_GB2312" w:cs="仿宋_GB2312"/>
          <w:sz w:val="32"/>
          <w:szCs w:val="32"/>
        </w:rPr>
        <w:t>前沿方向</w:t>
      </w:r>
      <w:r>
        <w:rPr>
          <w:rFonts w:hint="eastAsia" w:ascii="Times New Roman" w:hAnsi="Times New Roman" w:eastAsia="仿宋_GB2312" w:cs="仿宋_GB2312"/>
          <w:sz w:val="32"/>
          <w:szCs w:val="32"/>
        </w:rPr>
        <w:t>，</w:t>
      </w:r>
      <w:r>
        <w:rPr>
          <w:rFonts w:hint="eastAsia" w:ascii="Times New Roman" w:hAnsi="Times New Roman" w:eastAsia="仿宋_GB2312" w:cs="仿宋_GB2312"/>
          <w:bCs/>
          <w:sz w:val="32"/>
          <w:szCs w:val="32"/>
          <w:lang w:bidi="ar"/>
        </w:rPr>
        <w:t>解读科技核心逻辑、研发进展、潜在场景与伦理挑战，帮助公众理解科技革命和产业变革趋势</w:t>
      </w:r>
      <w:r>
        <w:rPr>
          <w:rFonts w:hint="eastAsia" w:ascii="Times New Roman" w:hAnsi="Times New Roman" w:eastAsia="仿宋_GB2312" w:cs="仿宋_GB2312"/>
          <w:sz w:val="32"/>
          <w:szCs w:val="32"/>
        </w:rPr>
        <w:t>。</w:t>
      </w:r>
    </w:p>
    <w:p w14:paraId="42EDA73E">
      <w:pPr>
        <w:suppressAutoHyphens/>
        <w:bidi w:val="0"/>
        <w:adjustRightInd w:val="0"/>
        <w:snapToGrid w:val="0"/>
        <w:spacing w:line="580" w:lineRule="exact"/>
        <w:ind w:firstLine="640" w:firstLineChars="200"/>
        <w:rPr>
          <w:rFonts w:hint="eastAsia" w:ascii="Times New Roman" w:hAnsi="Times New Roman" w:eastAsia="仿宋_GB2312" w:cs="仿宋_GB2312"/>
          <w:bCs/>
          <w:sz w:val="32"/>
          <w:szCs w:val="32"/>
          <w:lang w:bidi="ar"/>
        </w:rPr>
      </w:pPr>
      <w:r>
        <w:rPr>
          <w:rFonts w:hint="eastAsia" w:ascii="Times New Roman" w:hAnsi="Times New Roman" w:eastAsia="楷体_GB2312" w:cs="楷体_GB2312"/>
          <w:bCs/>
          <w:sz w:val="32"/>
          <w:szCs w:val="32"/>
          <w:lang w:bidi="ar"/>
        </w:rPr>
        <w:t>（三）技术应用领域。</w:t>
      </w:r>
      <w:r>
        <w:rPr>
          <w:rFonts w:hint="eastAsia" w:ascii="Times New Roman" w:hAnsi="Times New Roman" w:eastAsia="仿宋_GB2312" w:cs="仿宋_GB2312"/>
          <w:bCs/>
          <w:sz w:val="32"/>
          <w:szCs w:val="32"/>
          <w:lang w:bidi="ar"/>
        </w:rPr>
        <w:t>涵盖</w:t>
      </w:r>
      <w:r>
        <w:rPr>
          <w:rFonts w:hint="eastAsia" w:ascii="Times New Roman" w:hAnsi="Times New Roman" w:eastAsia="仿宋_GB2312" w:cs="仿宋_GB2312"/>
          <w:sz w:val="32"/>
          <w:szCs w:val="32"/>
        </w:rPr>
        <w:t>机械设计、精密加工、化工冶金、能源矿业、交通运输、建筑水利、农林技术、生态环境等领域的</w:t>
      </w:r>
      <w:r>
        <w:rPr>
          <w:rFonts w:hint="eastAsia" w:ascii="Times New Roman" w:hAnsi="Times New Roman" w:eastAsia="仿宋_GB2312" w:cs="仿宋_GB2312"/>
          <w:bCs/>
          <w:sz w:val="32"/>
          <w:szCs w:val="32"/>
          <w:lang w:bidi="ar"/>
        </w:rPr>
        <w:t>成熟技术、产业应用、工程装置，解读技术的工作流程、应用场景、价值影响，帮助公众理解科技对生活的改变。</w:t>
      </w:r>
    </w:p>
    <w:p w14:paraId="6CFFB27E">
      <w:pPr>
        <w:suppressAutoHyphens/>
        <w:bidi w:val="0"/>
        <w:spacing w:line="580" w:lineRule="exact"/>
        <w:ind w:firstLine="640" w:firstLineChars="200"/>
        <w:rPr>
          <w:rFonts w:hint="eastAsia" w:ascii="Times New Roman" w:hAnsi="Times New Roman" w:eastAsia="仿宋_GB2312" w:cs="仿宋_GB2312"/>
          <w:sz w:val="32"/>
          <w:szCs w:val="32"/>
        </w:rPr>
      </w:pPr>
      <w:r>
        <w:rPr>
          <w:rFonts w:hint="eastAsia" w:ascii="Times New Roman" w:hAnsi="Times New Roman" w:eastAsia="楷体_GB2312" w:cs="楷体_GB2312"/>
          <w:bCs/>
          <w:sz w:val="32"/>
          <w:szCs w:val="32"/>
          <w:lang w:bidi="ar"/>
        </w:rPr>
        <w:t>（四）民生相关领域。</w:t>
      </w:r>
      <w:r>
        <w:rPr>
          <w:rFonts w:hint="eastAsia" w:ascii="Times New Roman" w:hAnsi="Times New Roman" w:eastAsia="仿宋_GB2312" w:cs="仿宋_GB2312"/>
          <w:bCs/>
          <w:sz w:val="32"/>
          <w:szCs w:val="32"/>
          <w:lang w:bidi="ar"/>
        </w:rPr>
        <w:t>通过</w:t>
      </w:r>
      <w:r>
        <w:rPr>
          <w:rFonts w:hint="eastAsia" w:ascii="Times New Roman" w:hAnsi="Times New Roman" w:eastAsia="仿宋_GB2312" w:cs="仿宋_GB2312"/>
          <w:sz w:val="32"/>
          <w:szCs w:val="32"/>
        </w:rPr>
        <w:t>食品安全、营养健康、交通出行、防灾避险、疾病防治、心理学等</w:t>
      </w:r>
      <w:r>
        <w:rPr>
          <w:rFonts w:hint="eastAsia" w:ascii="Times New Roman" w:hAnsi="Times New Roman" w:eastAsia="仿宋_GB2312" w:cs="仿宋_GB2312"/>
          <w:bCs/>
          <w:sz w:val="32"/>
          <w:szCs w:val="32"/>
          <w:lang w:bidi="ar"/>
        </w:rPr>
        <w:t>民生科技内容科普，帮助公众树立科学的生活方式和习惯</w:t>
      </w:r>
      <w:r>
        <w:rPr>
          <w:rFonts w:hint="eastAsia" w:ascii="Times New Roman" w:hAnsi="Times New Roman" w:eastAsia="仿宋_GB2312" w:cs="仿宋_GB2312"/>
          <w:sz w:val="32"/>
          <w:szCs w:val="32"/>
        </w:rPr>
        <w:t>。</w:t>
      </w:r>
    </w:p>
    <w:p w14:paraId="2DB9CF4A">
      <w:pPr>
        <w:suppressAutoHyphens/>
        <w:bidi w:val="0"/>
        <w:adjustRightInd w:val="0"/>
        <w:snapToGrid w:val="0"/>
        <w:spacing w:line="580" w:lineRule="exact"/>
        <w:ind w:firstLine="640" w:firstLineChars="200"/>
        <w:rPr>
          <w:rFonts w:hint="eastAsia" w:ascii="Times New Roman" w:hAnsi="Times New Roman" w:eastAsia="仿宋_GB2312" w:cs="仿宋_GB2312"/>
          <w:bCs/>
          <w:sz w:val="32"/>
          <w:szCs w:val="32"/>
          <w:lang w:bidi="ar"/>
        </w:rPr>
      </w:pPr>
      <w:r>
        <w:rPr>
          <w:rFonts w:hint="eastAsia" w:ascii="Times New Roman" w:hAnsi="Times New Roman" w:eastAsia="楷体_GB2312" w:cs="楷体_GB2312"/>
          <w:bCs/>
          <w:sz w:val="32"/>
          <w:szCs w:val="32"/>
          <w:lang w:bidi="ar"/>
        </w:rPr>
        <w:t>（五）科学方法与科学精神传播。</w:t>
      </w:r>
      <w:r>
        <w:rPr>
          <w:rFonts w:hint="eastAsia" w:ascii="Times New Roman" w:hAnsi="Times New Roman" w:eastAsia="仿宋_GB2312" w:cs="仿宋_GB2312"/>
          <w:bCs/>
          <w:sz w:val="32"/>
          <w:szCs w:val="32"/>
          <w:lang w:bidi="ar"/>
        </w:rPr>
        <w:t>聚焦科学研究方法、科学精神，通过科研故事、案例分析、方法演示，提升公众科学思维水平。</w:t>
      </w:r>
    </w:p>
    <w:p w14:paraId="51ABD59B">
      <w:pPr>
        <w:suppressAutoHyphens/>
        <w:bidi w:val="0"/>
        <w:adjustRightInd w:val="0"/>
        <w:snapToGrid w:val="0"/>
        <w:spacing w:line="580" w:lineRule="exact"/>
        <w:ind w:firstLine="640" w:firstLineChars="200"/>
        <w:rPr>
          <w:rFonts w:hint="eastAsia" w:ascii="Times New Roman" w:hAnsi="Times New Roman" w:eastAsia="仿宋_GB2312" w:cs="仿宋_GB2312"/>
          <w:bCs/>
          <w:sz w:val="32"/>
          <w:szCs w:val="32"/>
          <w:lang w:bidi="ar"/>
        </w:rPr>
      </w:pPr>
      <w:r>
        <w:rPr>
          <w:rFonts w:hint="eastAsia" w:ascii="Times New Roman" w:hAnsi="Times New Roman" w:eastAsia="楷体_GB2312" w:cs="楷体_GB2312"/>
          <w:bCs/>
          <w:sz w:val="32"/>
          <w:szCs w:val="32"/>
          <w:lang w:bidi="ar"/>
        </w:rPr>
        <w:t>（六）交叉融合科普。</w:t>
      </w:r>
      <w:r>
        <w:rPr>
          <w:rFonts w:hint="eastAsia" w:ascii="Times New Roman" w:hAnsi="Times New Roman" w:eastAsia="仿宋_GB2312" w:cs="仿宋_GB2312"/>
          <w:bCs/>
          <w:sz w:val="32"/>
          <w:szCs w:val="32"/>
          <w:lang w:bidi="ar"/>
        </w:rPr>
        <w:t>聚焦科技与人文、艺术、社会融合，以“科技+X”形式（如科技+人文、科技+艺术等）解读科技背后的文化内涵、人文价值等，满足公众多元化科普需求。</w:t>
      </w:r>
    </w:p>
    <w:p w14:paraId="7B8E2506">
      <w:pPr>
        <w:pStyle w:val="2"/>
        <w:keepNext w:val="0"/>
        <w:keepLines w:val="0"/>
        <w:suppressAutoHyphens/>
        <w:bidi w:val="0"/>
        <w:spacing w:line="580" w:lineRule="exact"/>
        <w:ind w:firstLine="640"/>
        <w:rPr>
          <w:rFonts w:hint="eastAsia" w:ascii="Times New Roman" w:hAnsi="Times New Roman"/>
        </w:rPr>
      </w:pPr>
      <w:r>
        <w:rPr>
          <w:rFonts w:hint="eastAsia" w:ascii="Times New Roman" w:hAnsi="Times New Roman"/>
        </w:rPr>
        <w:t>三、征集作品类型</w:t>
      </w:r>
    </w:p>
    <w:p w14:paraId="5B077840">
      <w:pPr>
        <w:suppressAutoHyphens/>
        <w:bidi w:val="0"/>
        <w:spacing w:line="580" w:lineRule="exact"/>
        <w:ind w:firstLine="640" w:firstLineChars="200"/>
        <w:rPr>
          <w:rFonts w:hint="eastAsia" w:ascii="Times New Roman" w:hAnsi="Times New Roman" w:eastAsia="仿宋_GB2312" w:cs="仿宋_GB2312"/>
          <w:sz w:val="32"/>
          <w:szCs w:val="32"/>
        </w:rPr>
      </w:pPr>
      <w:r>
        <w:rPr>
          <w:rFonts w:hint="eastAsia" w:ascii="Times New Roman" w:hAnsi="Times New Roman" w:eastAsia="楷体_GB2312" w:cs="楷体_GB2312"/>
          <w:bCs/>
          <w:sz w:val="32"/>
          <w:szCs w:val="32"/>
          <w:lang w:bidi="ar"/>
        </w:rPr>
        <w:t>（一）科普文章：</w:t>
      </w:r>
      <w:r>
        <w:rPr>
          <w:rFonts w:hint="eastAsia" w:ascii="Times New Roman" w:hAnsi="Times New Roman" w:eastAsia="仿宋_GB2312" w:cs="仿宋_GB2312"/>
          <w:sz w:val="32"/>
          <w:szCs w:val="32"/>
        </w:rPr>
        <w:t>面向已撰写完成或公开发布的原创科普文章作品，体裁不限，内容严谨、通俗易懂，聚焦本次征集的主要内容，篇幅适中。</w:t>
      </w:r>
      <w:r>
        <w:rPr>
          <w:rFonts w:hint="eastAsia" w:ascii="Times New Roman" w:hAnsi="Times New Roman" w:eastAsia="仿宋_GB2312" w:cs="仿宋_GB2312"/>
          <w:bCs/>
          <w:sz w:val="32"/>
          <w:szCs w:val="32"/>
          <w:lang w:bidi="ar"/>
        </w:rPr>
        <w:t>短文（500—1500字）聚焦单一话题，如具体知识、方法或科学观念等，力求简洁精炼；长文（1500—5000字）深度解读复杂原理或成果，逻辑结构严谨。尽量避免本专业学术表述，难懂的关键术语附通俗解释，</w:t>
      </w:r>
      <w:r>
        <w:rPr>
          <w:rFonts w:hint="eastAsia" w:ascii="Times New Roman" w:hAnsi="Times New Roman" w:eastAsia="仿宋_GB2312" w:cs="仿宋_GB2312"/>
          <w:sz w:val="32"/>
          <w:szCs w:val="32"/>
        </w:rPr>
        <w:t>适合各类媒体传播。格式要求为Word、WPS或PDF，排版规范。</w:t>
      </w:r>
    </w:p>
    <w:p w14:paraId="7DAB1FEE">
      <w:pPr>
        <w:suppressAutoHyphens/>
        <w:bidi w:val="0"/>
        <w:adjustRightInd w:val="0"/>
        <w:snapToGrid w:val="0"/>
        <w:spacing w:line="580" w:lineRule="exact"/>
        <w:ind w:firstLine="640" w:firstLineChars="200"/>
        <w:rPr>
          <w:rFonts w:hint="eastAsia" w:ascii="Times New Roman" w:hAnsi="Times New Roman" w:eastAsia="仿宋_GB2312" w:cs="仿宋_GB2312"/>
          <w:sz w:val="32"/>
          <w:szCs w:val="32"/>
        </w:rPr>
      </w:pPr>
      <w:r>
        <w:rPr>
          <w:rFonts w:hint="eastAsia" w:ascii="Times New Roman" w:hAnsi="Times New Roman" w:eastAsia="楷体_GB2312" w:cs="楷体_GB2312"/>
          <w:bCs/>
          <w:sz w:val="32"/>
          <w:szCs w:val="32"/>
          <w:lang w:bidi="ar"/>
        </w:rPr>
        <w:t>（二）科普演讲稿：</w:t>
      </w:r>
      <w:r>
        <w:rPr>
          <w:rFonts w:hint="eastAsia" w:ascii="Times New Roman" w:hAnsi="Times New Roman" w:eastAsia="仿宋_GB2312" w:cs="仿宋_GB2312"/>
          <w:bCs/>
          <w:sz w:val="32"/>
          <w:szCs w:val="32"/>
        </w:rPr>
        <w:t>面向已撰写完成或在</w:t>
      </w:r>
      <w:r>
        <w:rPr>
          <w:rFonts w:hint="eastAsia" w:ascii="Times New Roman" w:hAnsi="Times New Roman" w:eastAsia="仿宋_GB2312" w:cs="仿宋_GB2312"/>
          <w:sz w:val="32"/>
          <w:szCs w:val="32"/>
        </w:rPr>
        <w:t>科普讲座、演讲活动等场景中使用的科普演讲稿作品，文字表达</w:t>
      </w:r>
      <w:r>
        <w:rPr>
          <w:rFonts w:hint="eastAsia" w:ascii="Times New Roman" w:hAnsi="Times New Roman" w:eastAsia="仿宋_GB2312" w:cs="仿宋_GB2312"/>
          <w:bCs/>
          <w:sz w:val="32"/>
          <w:szCs w:val="32"/>
          <w:lang w:bidi="ar"/>
        </w:rPr>
        <w:t>简洁明快、朗朗上口，避免过多书面语，互动感强。内容要融入案例、数据、个人经历，增强感染力，控制知识点密度，避免信息过载。逻辑条理清晰、重点突出，各部分内容衔接自然，符合听众认知规律。应</w:t>
      </w:r>
      <w:r>
        <w:rPr>
          <w:rFonts w:hint="eastAsia" w:ascii="Times New Roman" w:hAnsi="Times New Roman" w:eastAsia="仿宋_GB2312" w:cs="仿宋_GB2312"/>
          <w:sz w:val="32"/>
          <w:szCs w:val="32"/>
        </w:rPr>
        <w:t>适配科普讲座、演讲活动等场景。格式要求为Word、WPS或PDF，排版规范，字数控制在5000字以内。</w:t>
      </w:r>
    </w:p>
    <w:p w14:paraId="15A60320">
      <w:pPr>
        <w:suppressAutoHyphens/>
        <w:bidi w:val="0"/>
        <w:adjustRightInd w:val="0"/>
        <w:snapToGrid w:val="0"/>
        <w:spacing w:line="580" w:lineRule="exact"/>
        <w:ind w:firstLine="640" w:firstLineChars="200"/>
        <w:rPr>
          <w:rFonts w:hint="eastAsia" w:ascii="Times New Roman" w:hAnsi="Times New Roman" w:eastAsia="仿宋_GB2312" w:cs="仿宋_GB2312"/>
          <w:sz w:val="32"/>
          <w:szCs w:val="32"/>
        </w:rPr>
      </w:pPr>
      <w:r>
        <w:rPr>
          <w:rFonts w:hint="eastAsia" w:ascii="Times New Roman" w:hAnsi="Times New Roman" w:eastAsia="楷体_GB2312" w:cs="楷体_GB2312"/>
          <w:bCs/>
          <w:sz w:val="32"/>
          <w:szCs w:val="32"/>
          <w:lang w:bidi="ar"/>
        </w:rPr>
        <w:t>（三）科普手册：</w:t>
      </w:r>
      <w:r>
        <w:rPr>
          <w:rFonts w:hint="eastAsia" w:ascii="Times New Roman" w:hAnsi="Times New Roman" w:eastAsia="仿宋_GB2312" w:cs="仿宋_GB2312"/>
          <w:bCs/>
          <w:sz w:val="32"/>
          <w:szCs w:val="32"/>
        </w:rPr>
        <w:t>面向已编写完成或传播使用的科普手册</w:t>
      </w:r>
      <w:r>
        <w:rPr>
          <w:rFonts w:hint="eastAsia" w:ascii="Times New Roman" w:hAnsi="Times New Roman" w:eastAsia="仿宋_GB2312" w:cs="仿宋_GB2312"/>
          <w:sz w:val="32"/>
          <w:szCs w:val="32"/>
        </w:rPr>
        <w:t>作品</w:t>
      </w:r>
      <w:r>
        <w:rPr>
          <w:rFonts w:hint="eastAsia" w:ascii="Times New Roman" w:hAnsi="Times New Roman" w:eastAsia="仿宋_GB2312" w:cs="仿宋_GB2312"/>
          <w:bCs/>
          <w:sz w:val="32"/>
          <w:szCs w:val="32"/>
        </w:rPr>
        <w:t>，</w:t>
      </w:r>
      <w:r>
        <w:rPr>
          <w:rFonts w:hint="eastAsia" w:ascii="Times New Roman" w:hAnsi="Times New Roman" w:eastAsia="仿宋_GB2312" w:cs="仿宋_GB2312"/>
          <w:bCs/>
          <w:sz w:val="32"/>
          <w:szCs w:val="32"/>
          <w:lang w:bidi="ar"/>
        </w:rPr>
        <w:t>聚焦知识、技能，突出科学思想或科学方法，内容简洁、可操作，宜</w:t>
      </w:r>
      <w:r>
        <w:rPr>
          <w:rFonts w:hint="eastAsia" w:ascii="Times New Roman" w:hAnsi="Times New Roman" w:eastAsia="仿宋_GB2312" w:cs="仿宋_GB2312"/>
          <w:sz w:val="32"/>
          <w:szCs w:val="32"/>
        </w:rPr>
        <w:t>图文结合，</w:t>
      </w:r>
      <w:r>
        <w:rPr>
          <w:rFonts w:hint="eastAsia" w:ascii="Times New Roman" w:hAnsi="Times New Roman" w:eastAsia="仿宋_GB2312" w:cs="仿宋_GB2312"/>
          <w:bCs/>
          <w:sz w:val="32"/>
          <w:szCs w:val="32"/>
          <w:lang w:bidi="ar"/>
        </w:rPr>
        <w:t>避免理论化阐释，方便读者快速查阅、学以致用。表达规范、通俗易懂，无歧义，适合目标受众阅读水平，便</w:t>
      </w:r>
      <w:r>
        <w:rPr>
          <w:rFonts w:hint="eastAsia" w:ascii="Times New Roman" w:hAnsi="Times New Roman" w:eastAsia="仿宋_GB2312" w:cs="仿宋_GB2312"/>
          <w:sz w:val="32"/>
          <w:szCs w:val="32"/>
        </w:rPr>
        <w:t>于线下发放、线上传播等</w:t>
      </w:r>
      <w:r>
        <w:rPr>
          <w:rFonts w:hint="eastAsia" w:ascii="Times New Roman" w:hAnsi="Times New Roman" w:eastAsia="仿宋_GB2312" w:cs="仿宋_GB2312"/>
          <w:bCs/>
          <w:sz w:val="32"/>
          <w:szCs w:val="32"/>
          <w:lang w:bidi="ar"/>
        </w:rPr>
        <w:t>。</w:t>
      </w:r>
      <w:r>
        <w:rPr>
          <w:rFonts w:hint="eastAsia" w:ascii="Times New Roman" w:hAnsi="Times New Roman" w:eastAsia="仿宋_GB2312" w:cs="仿宋_GB2312"/>
          <w:sz w:val="32"/>
          <w:szCs w:val="32"/>
        </w:rPr>
        <w:t>格式要求为Word、WPS或PDF，排版规范，</w:t>
      </w:r>
      <w:r>
        <w:rPr>
          <w:rFonts w:hint="eastAsia" w:ascii="Times New Roman" w:hAnsi="Times New Roman" w:eastAsia="仿宋_GB2312" w:cs="仿宋_GB2312"/>
          <w:bCs/>
          <w:sz w:val="32"/>
          <w:szCs w:val="32"/>
          <w:lang w:bidi="ar"/>
        </w:rPr>
        <w:t>控制篇幅，兼顾便携性与可读性。</w:t>
      </w:r>
    </w:p>
    <w:p w14:paraId="3070EA37">
      <w:pPr>
        <w:suppressAutoHyphens/>
        <w:bidi w:val="0"/>
        <w:adjustRightInd w:val="0"/>
        <w:snapToGrid w:val="0"/>
        <w:spacing w:line="580" w:lineRule="exact"/>
        <w:ind w:firstLine="640" w:firstLineChars="200"/>
        <w:rPr>
          <w:rFonts w:hint="eastAsia" w:ascii="Times New Roman" w:hAnsi="Times New Roman" w:eastAsia="仿宋_GB2312" w:cs="仿宋_GB2312"/>
          <w:sz w:val="32"/>
          <w:szCs w:val="32"/>
        </w:rPr>
      </w:pPr>
      <w:r>
        <w:rPr>
          <w:rFonts w:hint="eastAsia" w:ascii="Times New Roman" w:hAnsi="Times New Roman" w:eastAsia="楷体_GB2312" w:cs="楷体_GB2312"/>
          <w:bCs/>
          <w:sz w:val="32"/>
          <w:szCs w:val="32"/>
          <w:lang w:bidi="ar"/>
        </w:rPr>
        <w:t>（四）科普图书：</w:t>
      </w:r>
      <w:r>
        <w:rPr>
          <w:rFonts w:hint="eastAsia" w:ascii="Times New Roman" w:hAnsi="Times New Roman" w:eastAsia="仿宋_GB2312" w:cs="仿宋_GB2312"/>
          <w:bCs/>
          <w:sz w:val="32"/>
          <w:szCs w:val="32"/>
        </w:rPr>
        <w:t>面向已</w:t>
      </w:r>
      <w:r>
        <w:rPr>
          <w:rFonts w:hint="eastAsia" w:ascii="Times New Roman" w:hAnsi="Times New Roman" w:eastAsia="仿宋_GB2312" w:cs="仿宋_GB2312"/>
          <w:sz w:val="32"/>
          <w:szCs w:val="32"/>
        </w:rPr>
        <w:t>正式出版的科普图书作品，</w:t>
      </w:r>
      <w:r>
        <w:rPr>
          <w:rFonts w:hint="eastAsia" w:ascii="Times New Roman" w:hAnsi="Times New Roman" w:eastAsia="仿宋_GB2312" w:cs="仿宋_GB2312"/>
          <w:bCs/>
          <w:sz w:val="32"/>
          <w:szCs w:val="32"/>
          <w:lang w:bidi="ar"/>
        </w:rPr>
        <w:t>内容框架完整，章节划分合理，逻辑连贯，兼顾系统性、专业性、可读性。内容要立足受众定位，融入案例、故事、数据等，增强说服力。预留思考空间，引导读者主动探索。标题精准概括核心内容，章节衔接自然，风格统一，行文严谨又不失生动。</w:t>
      </w:r>
      <w:r>
        <w:rPr>
          <w:rFonts w:hint="eastAsia" w:ascii="Times New Roman" w:hAnsi="Times New Roman" w:eastAsia="仿宋_GB2312" w:cs="仿宋_GB2312"/>
          <w:sz w:val="32"/>
          <w:szCs w:val="32"/>
        </w:rPr>
        <w:t>格式要求为Word、WPS或PDF，排版规范，字数不限。</w:t>
      </w:r>
    </w:p>
    <w:p w14:paraId="041E3D46">
      <w:pPr>
        <w:suppressAutoHyphens/>
        <w:bidi w:val="0"/>
        <w:spacing w:line="580" w:lineRule="exact"/>
        <w:ind w:firstLine="640" w:firstLineChars="200"/>
        <w:rPr>
          <w:rFonts w:hint="eastAsia" w:ascii="Times New Roman" w:hAnsi="Times New Roman" w:eastAsia="仿宋_GB2312" w:cs="仿宋_GB2312"/>
          <w:sz w:val="32"/>
          <w:szCs w:val="32"/>
        </w:rPr>
      </w:pPr>
      <w:r>
        <w:rPr>
          <w:rFonts w:hint="eastAsia" w:ascii="Times New Roman" w:hAnsi="Times New Roman" w:eastAsia="楷体_GB2312" w:cs="楷体_GB2312"/>
          <w:bCs/>
          <w:sz w:val="32"/>
          <w:szCs w:val="32"/>
          <w:lang w:bidi="ar"/>
        </w:rPr>
        <w:t>（五）科普文创：</w:t>
      </w:r>
      <w:r>
        <w:rPr>
          <w:rFonts w:hint="eastAsia" w:ascii="Times New Roman" w:hAnsi="Times New Roman" w:eastAsia="仿宋_GB2312" w:cs="仿宋_GB2312"/>
          <w:sz w:val="32"/>
          <w:szCs w:val="32"/>
        </w:rPr>
        <w:t>面向已设计定型、可落地生产或已投入推广应用的原创科普文创产品，重点征集融入未来产业元素、兼具科普价值与实用价值、艺术价值的优秀作品。包括科学玩具、科普文创、科普IP衍生品、科学文创材料包等。作品需贴合未来产业主题，将科学知识巧妙融入产品设计，兼具创新性、实用性和趣味性，便于传播和推广，能够让公众在使用、观赏中了解未来产业相关知识。产品设计</w:t>
      </w:r>
      <w:r>
        <w:rPr>
          <w:rFonts w:hint="eastAsia" w:ascii="Times New Roman" w:hAnsi="Times New Roman" w:eastAsia="仿宋_GB2312" w:cs="仿宋_GB2312"/>
          <w:bCs/>
          <w:sz w:val="32"/>
          <w:szCs w:val="32"/>
        </w:rPr>
        <w:t>方案与说明格式为Word、</w:t>
      </w:r>
      <w:r>
        <w:rPr>
          <w:rFonts w:hint="eastAsia" w:ascii="Times New Roman" w:hAnsi="Times New Roman" w:eastAsia="仿宋_GB2312" w:cs="仿宋_GB2312"/>
          <w:sz w:val="32"/>
          <w:szCs w:val="32"/>
        </w:rPr>
        <w:t>WPS、</w:t>
      </w:r>
      <w:r>
        <w:rPr>
          <w:rFonts w:hint="eastAsia" w:ascii="Times New Roman" w:hAnsi="Times New Roman" w:eastAsia="仿宋_GB2312" w:cs="仿宋_GB2312"/>
          <w:bCs/>
          <w:sz w:val="32"/>
          <w:szCs w:val="32"/>
        </w:rPr>
        <w:t>PDF或PPT，效果图格式为JPG或PNG。</w:t>
      </w:r>
    </w:p>
    <w:p w14:paraId="616DF3E3">
      <w:pPr>
        <w:suppressAutoHyphens/>
        <w:bidi w:val="0"/>
        <w:spacing w:line="580" w:lineRule="exact"/>
        <w:ind w:firstLine="640" w:firstLineChars="200"/>
        <w:rPr>
          <w:rFonts w:hint="eastAsia" w:ascii="Times New Roman" w:hAnsi="Times New Roman" w:eastAsia="仿宋_GB2312" w:cs="仿宋_GB2312"/>
          <w:bCs/>
          <w:sz w:val="32"/>
          <w:szCs w:val="32"/>
        </w:rPr>
      </w:pPr>
      <w:r>
        <w:rPr>
          <w:rFonts w:hint="eastAsia" w:ascii="Times New Roman" w:hAnsi="Times New Roman" w:eastAsia="楷体_GB2312" w:cs="楷体_GB2312"/>
          <w:bCs/>
          <w:sz w:val="32"/>
          <w:szCs w:val="32"/>
          <w:lang w:bidi="ar"/>
        </w:rPr>
        <w:t>（六）科学课程：</w:t>
      </w:r>
      <w:r>
        <w:rPr>
          <w:rFonts w:hint="eastAsia" w:ascii="Times New Roman" w:hAnsi="Times New Roman" w:eastAsia="仿宋_GB2312" w:cs="仿宋_GB2312"/>
          <w:bCs/>
          <w:sz w:val="32"/>
          <w:szCs w:val="32"/>
        </w:rPr>
        <w:t>面向已研发完成或已实践应用的科学课程作品，适配科技馆、科普教育基地等科普场馆现场教学、研学实践、线上展教等场景，深度结合场馆展项、实验资源与教育活动，面向青少年及其他社会公众分层开发。内容应紧扣征集主题，突出科学性、探究性、互动性、体验性。课程需包含教案（教学目标、对象、时长、流程、重难点、探究环节、互动实验、课后拓展）、课件、讲解词等。要求内容科学准确、受众分层清晰、语言通俗、逻辑清晰，适合场馆线下教学、线上数字课程、研学活动等多场景。格式要求为Word、</w:t>
      </w:r>
      <w:r>
        <w:rPr>
          <w:rFonts w:hint="eastAsia" w:ascii="Times New Roman" w:hAnsi="Times New Roman" w:eastAsia="仿宋_GB2312" w:cs="仿宋_GB2312"/>
          <w:sz w:val="32"/>
          <w:szCs w:val="32"/>
        </w:rPr>
        <w:t>WPS、</w:t>
      </w:r>
      <w:r>
        <w:rPr>
          <w:rFonts w:hint="eastAsia" w:ascii="Times New Roman" w:hAnsi="Times New Roman" w:eastAsia="仿宋_GB2312" w:cs="仿宋_GB2312"/>
          <w:bCs/>
          <w:sz w:val="32"/>
          <w:szCs w:val="32"/>
        </w:rPr>
        <w:t>PDF或PPT。</w:t>
      </w:r>
    </w:p>
    <w:p w14:paraId="2FDFBCFB">
      <w:pPr>
        <w:suppressAutoHyphens/>
        <w:bidi w:val="0"/>
        <w:spacing w:line="580" w:lineRule="exact"/>
        <w:ind w:firstLine="640" w:firstLineChars="200"/>
        <w:rPr>
          <w:rFonts w:hint="eastAsia" w:ascii="Times New Roman" w:hAnsi="Times New Roman" w:eastAsia="仿宋_GB2312"/>
          <w:sz w:val="32"/>
          <w:szCs w:val="32"/>
        </w:rPr>
      </w:pPr>
      <w:r>
        <w:rPr>
          <w:rFonts w:hint="eastAsia" w:ascii="Times New Roman" w:hAnsi="Times New Roman" w:eastAsia="楷体_GB2312" w:cs="楷体_GB2312"/>
          <w:bCs/>
          <w:sz w:val="32"/>
          <w:szCs w:val="32"/>
          <w:lang w:bidi="ar"/>
        </w:rPr>
        <w:t>（七）科普展览：</w:t>
      </w:r>
      <w:r>
        <w:rPr>
          <w:rFonts w:hint="eastAsia" w:ascii="Times New Roman" w:hAnsi="Times New Roman" w:eastAsia="仿宋_GB2312" w:cs="仿宋_GB2312"/>
          <w:bCs/>
          <w:sz w:val="32"/>
          <w:szCs w:val="32"/>
        </w:rPr>
        <w:t>面向已落地实施或拟策划推出的主题化、模块化展览展示作品，适应科普场馆、社区展厅、企业展厅等多元场景。内容紧扣征集主题，突出科学性、互动性、体验性。应有完整展览方案（主题、结构、内容、展项设计）、展项说明、讲解词等。要求主题鲜明、逻辑清晰、适配受众认知、便于布展与推广，适配线下巡展、线上云展等多种形式。方案与文档格式为 Word、</w:t>
      </w:r>
      <w:r>
        <w:rPr>
          <w:rFonts w:hint="eastAsia" w:ascii="Times New Roman" w:hAnsi="Times New Roman" w:eastAsia="仿宋_GB2312" w:cs="仿宋_GB2312"/>
          <w:sz w:val="32"/>
          <w:szCs w:val="32"/>
        </w:rPr>
        <w:t>WPS、</w:t>
      </w:r>
      <w:r>
        <w:rPr>
          <w:rFonts w:hint="eastAsia" w:ascii="Times New Roman" w:hAnsi="Times New Roman" w:eastAsia="仿宋_GB2312" w:cs="仿宋_GB2312"/>
          <w:bCs/>
          <w:sz w:val="32"/>
          <w:szCs w:val="32"/>
        </w:rPr>
        <w:t>PDF或PPT，效果图格式为JPG或PNG。</w:t>
      </w:r>
    </w:p>
    <w:p w14:paraId="4443D7C7">
      <w:pPr>
        <w:suppressAutoHyphens/>
        <w:bidi w:val="0"/>
        <w:spacing w:line="580" w:lineRule="exact"/>
        <w:ind w:firstLine="640" w:firstLineChars="200"/>
        <w:rPr>
          <w:rFonts w:hint="eastAsia" w:ascii="Times New Roman" w:hAnsi="Times New Roman" w:eastAsia="仿宋_GB2312" w:cs="仿宋_GB2312"/>
          <w:kern w:val="0"/>
          <w:sz w:val="32"/>
          <w:szCs w:val="32"/>
          <w:lang w:bidi="ar"/>
        </w:rPr>
      </w:pPr>
      <w:r>
        <w:rPr>
          <w:rFonts w:hint="eastAsia" w:ascii="Times New Roman" w:hAnsi="Times New Roman" w:eastAsia="楷体_GB2312" w:cs="楷体_GB2312"/>
          <w:bCs/>
          <w:sz w:val="32"/>
          <w:szCs w:val="32"/>
          <w:lang w:bidi="ar"/>
        </w:rPr>
        <w:t>（八）科普视频：</w:t>
      </w:r>
      <w:r>
        <w:rPr>
          <w:rFonts w:hint="eastAsia" w:ascii="Times New Roman" w:hAnsi="Times New Roman" w:eastAsia="仿宋_GB2312" w:cs="仿宋_GB2312"/>
          <w:sz w:val="32"/>
          <w:szCs w:val="32"/>
        </w:rPr>
        <w:t>面向公开发布的原创</w:t>
      </w:r>
      <w:r>
        <w:rPr>
          <w:rFonts w:hint="eastAsia" w:ascii="Times New Roman" w:hAnsi="Times New Roman" w:eastAsia="仿宋_GB2312" w:cs="仿宋_GB2312"/>
          <w:bCs/>
          <w:sz w:val="32"/>
          <w:szCs w:val="32"/>
        </w:rPr>
        <w:t>科普视频作品</w:t>
      </w:r>
      <w:r>
        <w:rPr>
          <w:rFonts w:hint="eastAsia" w:ascii="Times New Roman" w:hAnsi="Times New Roman" w:eastAsia="仿宋_GB2312" w:cs="仿宋_GB2312"/>
          <w:sz w:val="32"/>
          <w:szCs w:val="32"/>
        </w:rPr>
        <w:t>。作品应内容独特、形式新颖、制作精良。表述</w:t>
      </w:r>
      <w:r>
        <w:rPr>
          <w:rFonts w:hint="eastAsia" w:ascii="Times New Roman" w:hAnsi="Times New Roman" w:eastAsia="仿宋_GB2312" w:cs="仿宋_GB2312"/>
          <w:kern w:val="0"/>
          <w:sz w:val="32"/>
          <w:szCs w:val="32"/>
          <w:lang w:bidi="ar"/>
        </w:rPr>
        <w:t>科技知识视角新颖，叙事生动流畅、通俗易懂，</w:t>
      </w:r>
      <w:r>
        <w:rPr>
          <w:rFonts w:hint="eastAsia" w:ascii="Times New Roman" w:hAnsi="Times New Roman" w:eastAsia="仿宋_GB2312" w:cs="仿宋_GB2312"/>
          <w:sz w:val="32"/>
          <w:szCs w:val="32"/>
        </w:rPr>
        <w:t>能够引导公众认识和正确使用科技成果，启迪科学思维、传授科学方法，引领塑造科学文化氛围，兼具科学性、思想性、传播性和艺术性。短视频时长5分钟以内，长视频时长5分钟以上、20分钟以内，</w:t>
      </w:r>
      <w:r>
        <w:rPr>
          <w:rFonts w:hint="eastAsia" w:ascii="Times New Roman" w:hAnsi="Times New Roman" w:eastAsia="仿宋_GB2312" w:cs="仿宋_GB2312"/>
          <w:kern w:val="0"/>
          <w:sz w:val="32"/>
          <w:szCs w:val="32"/>
          <w:lang w:bidi="ar"/>
        </w:rPr>
        <w:t>视频格式为MOV或MP4，分辨率不低于1080P；同时报送格式为</w:t>
      </w:r>
      <w:r>
        <w:rPr>
          <w:rFonts w:hint="eastAsia" w:ascii="Times New Roman" w:hAnsi="Times New Roman" w:eastAsia="仿宋_GB2312" w:cs="仿宋_GB2312"/>
          <w:bCs/>
          <w:sz w:val="32"/>
          <w:szCs w:val="32"/>
        </w:rPr>
        <w:t>Word</w:t>
      </w:r>
      <w:r>
        <w:rPr>
          <w:rFonts w:hint="eastAsia" w:ascii="Times New Roman" w:hAnsi="Times New Roman" w:eastAsia="仿宋_GB2312" w:cs="仿宋_GB2312"/>
          <w:sz w:val="32"/>
          <w:szCs w:val="32"/>
        </w:rPr>
        <w:t>、WPS</w:t>
      </w:r>
      <w:r>
        <w:rPr>
          <w:rFonts w:hint="eastAsia" w:ascii="Times New Roman" w:hAnsi="Times New Roman" w:eastAsia="仿宋_GB2312" w:cs="仿宋_GB2312"/>
          <w:bCs/>
          <w:sz w:val="32"/>
          <w:szCs w:val="32"/>
        </w:rPr>
        <w:t>或PDF的</w:t>
      </w:r>
      <w:r>
        <w:rPr>
          <w:rFonts w:hint="eastAsia" w:ascii="Times New Roman" w:hAnsi="Times New Roman" w:eastAsia="仿宋_GB2312" w:cs="仿宋_GB2312"/>
          <w:kern w:val="0"/>
          <w:sz w:val="32"/>
          <w:szCs w:val="32"/>
          <w:lang w:bidi="ar"/>
        </w:rPr>
        <w:t>作品简介、创作说明、时长、主创人员等配套文字材料。</w:t>
      </w:r>
    </w:p>
    <w:p w14:paraId="74F38187">
      <w:pPr>
        <w:suppressAutoHyphens/>
        <w:bidi w:val="0"/>
        <w:spacing w:line="580" w:lineRule="exact"/>
        <w:ind w:firstLine="640" w:firstLineChars="200"/>
        <w:jc w:val="left"/>
        <w:rPr>
          <w:rFonts w:hint="eastAsia" w:ascii="Times New Roman" w:hAnsi="Times New Roman" w:eastAsia="仿宋_GB2312" w:cs="仿宋_GB2312"/>
          <w:b/>
          <w:sz w:val="32"/>
          <w:szCs w:val="32"/>
          <w:lang w:bidi="ar"/>
        </w:rPr>
      </w:pPr>
      <w:r>
        <w:rPr>
          <w:rFonts w:hint="eastAsia" w:ascii="Times New Roman" w:hAnsi="Times New Roman" w:eastAsia="楷体_GB2312" w:cs="楷体_GB2312"/>
          <w:bCs/>
          <w:sz w:val="32"/>
          <w:szCs w:val="32"/>
          <w:lang w:bidi="ar"/>
        </w:rPr>
        <w:t>（九）科普电影和动画：</w:t>
      </w:r>
      <w:r>
        <w:rPr>
          <w:rFonts w:hint="eastAsia" w:ascii="Times New Roman" w:hAnsi="Times New Roman" w:eastAsia="仿宋_GB2312" w:cs="仿宋_GB2312"/>
          <w:bCs/>
          <w:sz w:val="32"/>
          <w:szCs w:val="32"/>
          <w:lang w:bidi="ar"/>
        </w:rPr>
        <w:t>面向正式公映、上线播出的原创科普电影、科普动画作品。包括院线影片、公益科普微电影、科普动画、科普短视频动画、科幻作品等。要求主题鲜明、科学内容严谨，叙事生动、制作精良，能够生动诠释基础科学、前沿科技、科学精神等内容，适合线上展播、线下放映、科普场馆常态化播放。系列作品可合集申报。格式为MOV或MP4，分辨率不低于1080P；</w:t>
      </w:r>
      <w:r>
        <w:rPr>
          <w:rFonts w:hint="eastAsia" w:ascii="Times New Roman" w:hAnsi="Times New Roman" w:eastAsia="仿宋_GB2312" w:cs="仿宋_GB2312"/>
          <w:kern w:val="0"/>
          <w:sz w:val="32"/>
          <w:szCs w:val="32"/>
          <w:lang w:bidi="ar"/>
        </w:rPr>
        <w:t>同时报送格式为</w:t>
      </w:r>
      <w:r>
        <w:rPr>
          <w:rFonts w:hint="eastAsia" w:ascii="Times New Roman" w:hAnsi="Times New Roman" w:eastAsia="仿宋_GB2312" w:cs="仿宋_GB2312"/>
          <w:bCs/>
          <w:sz w:val="32"/>
          <w:szCs w:val="32"/>
        </w:rPr>
        <w:t>Word</w:t>
      </w:r>
      <w:r>
        <w:rPr>
          <w:rFonts w:hint="eastAsia" w:ascii="Times New Roman" w:hAnsi="Times New Roman" w:eastAsia="仿宋_GB2312" w:cs="仿宋_GB2312"/>
          <w:sz w:val="32"/>
          <w:szCs w:val="32"/>
        </w:rPr>
        <w:t>、WPS</w:t>
      </w:r>
      <w:r>
        <w:rPr>
          <w:rFonts w:hint="eastAsia" w:ascii="Times New Roman" w:hAnsi="Times New Roman" w:eastAsia="仿宋_GB2312" w:cs="仿宋_GB2312"/>
          <w:bCs/>
          <w:sz w:val="32"/>
          <w:szCs w:val="32"/>
        </w:rPr>
        <w:t>或PDF的</w:t>
      </w:r>
      <w:r>
        <w:rPr>
          <w:rFonts w:hint="eastAsia" w:ascii="Times New Roman" w:hAnsi="Times New Roman" w:eastAsia="仿宋_GB2312" w:cs="仿宋_GB2312"/>
          <w:bCs/>
          <w:sz w:val="32"/>
          <w:szCs w:val="32"/>
          <w:lang w:bidi="ar"/>
        </w:rPr>
        <w:t>作品简介、创作说明、主创人员名单、播出成效等配套文字材料。</w:t>
      </w:r>
    </w:p>
    <w:p w14:paraId="5540CC70">
      <w:pPr>
        <w:suppressAutoHyphens/>
        <w:bidi w:val="0"/>
        <w:spacing w:line="580" w:lineRule="exact"/>
        <w:ind w:firstLine="640" w:firstLineChars="200"/>
        <w:rPr>
          <w:rFonts w:hint="eastAsia" w:ascii="Times New Roman" w:hAnsi="Times New Roman" w:eastAsia="仿宋_GB2312" w:cs="仿宋_GB2312"/>
          <w:bCs/>
          <w:sz w:val="32"/>
          <w:szCs w:val="32"/>
          <w:lang w:bidi="ar"/>
        </w:rPr>
      </w:pPr>
      <w:r>
        <w:rPr>
          <w:rFonts w:hint="eastAsia" w:ascii="Times New Roman" w:hAnsi="Times New Roman" w:eastAsia="楷体_GB2312" w:cs="楷体_GB2312"/>
          <w:bCs/>
          <w:sz w:val="32"/>
          <w:szCs w:val="32"/>
          <w:lang w:bidi="ar"/>
        </w:rPr>
        <w:t>（十）科普互动体验和数字创意：</w:t>
      </w:r>
      <w:r>
        <w:rPr>
          <w:rFonts w:hint="eastAsia" w:ascii="Times New Roman" w:hAnsi="Times New Roman" w:eastAsia="仿宋_GB2312" w:cs="仿宋_GB2312"/>
          <w:bCs/>
          <w:sz w:val="32"/>
          <w:szCs w:val="32"/>
          <w:lang w:bidi="ar"/>
        </w:rPr>
        <w:t>面向已落地运营或成熟可落地的数字化科普产品，包括VR/AR/XR沉浸式科普体验项目、科普游戏、科学可视化作品、科普数字藏品、线上虚拟科普空间等品类。作品依托虚拟现实、交互编程等数字技术，将科学原理、前沿知识转化为沉浸式、可交互、趣味性内容，兼顾科学性、体验感与创新性，适配科普场馆落地展陈、线上平台传播、家庭沉浸体验等多场景应用。申报材料包含项目方案、功能说明、落地成效、演示素材等，文字材料采用Word、</w:t>
      </w:r>
      <w:r>
        <w:rPr>
          <w:rFonts w:hint="eastAsia" w:ascii="Times New Roman" w:hAnsi="Times New Roman" w:eastAsia="仿宋_GB2312" w:cs="仿宋_GB2312"/>
          <w:sz w:val="32"/>
          <w:szCs w:val="32"/>
        </w:rPr>
        <w:t>WPS、</w:t>
      </w:r>
      <w:r>
        <w:rPr>
          <w:rFonts w:hint="eastAsia" w:ascii="Times New Roman" w:hAnsi="Times New Roman" w:eastAsia="仿宋_GB2312" w:cs="仿宋_GB2312"/>
          <w:bCs/>
          <w:sz w:val="32"/>
          <w:szCs w:val="32"/>
          <w:lang w:bidi="ar"/>
        </w:rPr>
        <w:t>PDF格式；同时报送格式为JPG、PNG、MOV、MP4的演示效果图或视频。</w:t>
      </w:r>
    </w:p>
    <w:p w14:paraId="038A911F">
      <w:pPr>
        <w:suppressAutoHyphens/>
        <w:bidi w:val="0"/>
        <w:spacing w:line="580" w:lineRule="exact"/>
        <w:ind w:firstLine="640" w:firstLineChars="200"/>
        <w:jc w:val="left"/>
        <w:rPr>
          <w:rFonts w:hint="eastAsia" w:ascii="Times New Roman" w:hAnsi="Times New Roman" w:eastAsia="仿宋_GB2312" w:cs="仿宋_GB2312"/>
          <w:bCs/>
          <w:sz w:val="32"/>
          <w:szCs w:val="32"/>
          <w:lang w:bidi="ar"/>
        </w:rPr>
      </w:pPr>
      <w:r>
        <w:rPr>
          <w:rFonts w:hint="eastAsia" w:ascii="Times New Roman" w:hAnsi="Times New Roman" w:eastAsia="楷体_GB2312" w:cs="楷体_GB2312"/>
          <w:bCs/>
          <w:sz w:val="32"/>
          <w:szCs w:val="32"/>
          <w:lang w:bidi="ar"/>
        </w:rPr>
        <w:t>（十一）专项科技领域科普规划：</w:t>
      </w:r>
      <w:r>
        <w:rPr>
          <w:rFonts w:hint="eastAsia" w:ascii="Times New Roman" w:hAnsi="Times New Roman" w:eastAsia="仿宋_GB2312" w:cs="仿宋_GB2312"/>
          <w:bCs/>
          <w:sz w:val="32"/>
          <w:szCs w:val="32"/>
          <w:lang w:bidi="ar"/>
        </w:rPr>
        <w:t>围绕单一细分科技领域、行业赛道，系统性编制的科普专项规划。</w:t>
      </w:r>
      <w:r>
        <w:rPr>
          <w:rStyle w:val="7"/>
          <w:rFonts w:hint="eastAsia" w:ascii="Times New Roman" w:hAnsi="Times New Roman" w:eastAsia="仿宋_GB2312" w:cs="仿宋_GB2312"/>
          <w:b w:val="0"/>
          <w:bCs/>
          <w:sz w:val="32"/>
          <w:szCs w:val="32"/>
          <w:lang w:bidi="ar"/>
        </w:rPr>
        <w:t>主要内容</w:t>
      </w:r>
      <w:r>
        <w:rPr>
          <w:rFonts w:hint="eastAsia" w:ascii="Times New Roman" w:hAnsi="Times New Roman" w:eastAsia="仿宋_GB2312" w:cs="仿宋_GB2312"/>
          <w:bCs/>
          <w:sz w:val="32"/>
          <w:szCs w:val="32"/>
          <w:lang w:bidi="ar"/>
        </w:rPr>
        <w:t>包括领域发展概况、科普现状、科普重点方向、核心知识体系、受众对象、传播路径等，应兼具专业性、系统性，可落地实施，可作为领域或行业科普长期实施的指导性文本。文本提交格式为Word</w:t>
      </w:r>
      <w:r>
        <w:rPr>
          <w:rFonts w:hint="eastAsia" w:ascii="Times New Roman" w:hAnsi="Times New Roman" w:eastAsia="仿宋_GB2312" w:cs="仿宋_GB2312"/>
          <w:sz w:val="32"/>
          <w:szCs w:val="32"/>
        </w:rPr>
        <w:t>、WPS</w:t>
      </w:r>
      <w:r>
        <w:rPr>
          <w:rFonts w:hint="eastAsia" w:ascii="Times New Roman" w:hAnsi="Times New Roman" w:eastAsia="仿宋_GB2312" w:cs="仿宋_GB2312"/>
          <w:bCs/>
          <w:sz w:val="32"/>
          <w:szCs w:val="32"/>
          <w:lang w:bidi="ar"/>
        </w:rPr>
        <w:t>或PDF。</w:t>
      </w:r>
    </w:p>
    <w:p w14:paraId="479BF949">
      <w:pPr>
        <w:suppressAutoHyphens/>
        <w:bidi w:val="0"/>
        <w:spacing w:line="580" w:lineRule="exact"/>
        <w:ind w:firstLine="640" w:firstLineChars="200"/>
        <w:jc w:val="left"/>
        <w:rPr>
          <w:rFonts w:hint="eastAsia" w:ascii="Times New Roman" w:hAnsi="Times New Roman" w:eastAsia="仿宋_GB2312" w:cs="仿宋_GB2312"/>
          <w:bCs/>
          <w:sz w:val="32"/>
          <w:szCs w:val="32"/>
          <w:lang w:bidi="ar"/>
        </w:rPr>
      </w:pPr>
      <w:r>
        <w:rPr>
          <w:rFonts w:hint="eastAsia" w:ascii="Times New Roman" w:hAnsi="Times New Roman" w:eastAsia="楷体_GB2312" w:cs="楷体_GB2312"/>
          <w:bCs/>
          <w:sz w:val="32"/>
          <w:szCs w:val="32"/>
          <w:lang w:bidi="ar"/>
        </w:rPr>
        <w:t>（十二）科普智能体：</w:t>
      </w:r>
      <w:r>
        <w:rPr>
          <w:rFonts w:hint="eastAsia" w:ascii="Times New Roman" w:hAnsi="Times New Roman" w:eastAsia="仿宋_GB2312" w:cs="仿宋_GB2312"/>
          <w:bCs/>
          <w:sz w:val="32"/>
          <w:szCs w:val="32"/>
          <w:lang w:bidi="ar"/>
        </w:rPr>
        <w:t>依托大模型、多模态语料库等人工智能技术研发应用的科普智能体案例。一般应实现智能科普问答、知识图谱生成、个性化知识推送、沉浸式科学讲解、科普课程生成、科普文案创作、研学场景陪伴等功能，适配科技馆、科普教育基地、星火馆、校园课堂、社区乡村等场景，可常态化开展伴随式科普服务、辅助科普教学、支撑研学实践、助力基层科普赋能，具备知识专业、交互自然、响应精准的特点。提交材料包括智能体功能说明、应用场景介绍、运行成效、典型案例等，格式为Word</w:t>
      </w:r>
      <w:r>
        <w:rPr>
          <w:rFonts w:hint="eastAsia" w:ascii="Times New Roman" w:hAnsi="Times New Roman" w:eastAsia="仿宋_GB2312" w:cs="仿宋_GB2312"/>
          <w:sz w:val="32"/>
          <w:szCs w:val="32"/>
        </w:rPr>
        <w:t>、WPS</w:t>
      </w:r>
      <w:r>
        <w:rPr>
          <w:rFonts w:hint="eastAsia" w:ascii="Times New Roman" w:hAnsi="Times New Roman" w:eastAsia="仿宋_GB2312" w:cs="仿宋_GB2312"/>
          <w:bCs/>
          <w:sz w:val="32"/>
          <w:szCs w:val="32"/>
          <w:lang w:bidi="ar"/>
        </w:rPr>
        <w:t>或PDF。</w:t>
      </w:r>
    </w:p>
    <w:p w14:paraId="1468443A">
      <w:pPr>
        <w:pStyle w:val="2"/>
        <w:keepNext w:val="0"/>
        <w:keepLines w:val="0"/>
        <w:suppressAutoHyphens/>
        <w:bidi w:val="0"/>
        <w:spacing w:line="580" w:lineRule="exact"/>
        <w:ind w:firstLine="640"/>
        <w:rPr>
          <w:rFonts w:hint="eastAsia" w:ascii="Times New Roman" w:hAnsi="Times New Roman"/>
        </w:rPr>
      </w:pPr>
      <w:r>
        <w:rPr>
          <w:rFonts w:hint="eastAsia" w:ascii="Times New Roman" w:hAnsi="Times New Roman"/>
        </w:rPr>
        <w:t>四、作品</w:t>
      </w:r>
      <w:r>
        <w:rPr>
          <w:rFonts w:ascii="Times New Roman" w:hAnsi="Times New Roman"/>
        </w:rPr>
        <w:t>要求</w:t>
      </w:r>
    </w:p>
    <w:p w14:paraId="0DDEE3C9">
      <w:pPr>
        <w:suppressAutoHyphens/>
        <w:bidi w:val="0"/>
        <w:spacing w:line="580" w:lineRule="exact"/>
        <w:ind w:firstLine="640" w:firstLineChars="200"/>
        <w:rPr>
          <w:rFonts w:hint="eastAsia" w:ascii="Times New Roman" w:hAnsi="Times New Roman" w:eastAsia="仿宋_GB2312" w:cs="仿宋_GB2312"/>
          <w:sz w:val="32"/>
          <w:szCs w:val="32"/>
        </w:rPr>
      </w:pPr>
      <w:r>
        <w:rPr>
          <w:rFonts w:hint="eastAsia" w:ascii="Times New Roman" w:hAnsi="Times New Roman" w:eastAsia="仿宋_GB2312" w:cs="仿宋_GB2312"/>
          <w:sz w:val="32"/>
          <w:szCs w:val="32"/>
        </w:rPr>
        <w:t>（一）作品须符合党的路线、方针、政策，符合党的宣传工作要求，符合国家法律、法规，符合国家网络安全和信息化建设相关要求，符合社会主义核心价值观。</w:t>
      </w:r>
    </w:p>
    <w:p w14:paraId="0FF75C31">
      <w:pPr>
        <w:suppressAutoHyphens/>
        <w:bidi w:val="0"/>
        <w:spacing w:line="580" w:lineRule="exact"/>
        <w:ind w:firstLine="640" w:firstLineChars="200"/>
        <w:rPr>
          <w:rFonts w:hint="eastAsia" w:ascii="Times New Roman" w:hAnsi="Times New Roman" w:eastAsia="仿宋_GB2312" w:cs="仿宋_GB2312"/>
          <w:sz w:val="32"/>
          <w:szCs w:val="32"/>
        </w:rPr>
      </w:pPr>
      <w:r>
        <w:rPr>
          <w:rFonts w:hint="eastAsia" w:ascii="Times New Roman" w:hAnsi="Times New Roman" w:eastAsia="仿宋_GB2312" w:cs="仿宋_GB2312"/>
          <w:sz w:val="32"/>
          <w:szCs w:val="32"/>
        </w:rPr>
        <w:t>（二）作品须紧扣本次征集主题，注重弘扬创新文化、融入创新思想，体现鲜明的创意设计和创新理念，思想健康向上、通俗易懂，彰显新时代科普工作主旋律。</w:t>
      </w:r>
    </w:p>
    <w:p w14:paraId="4442A9C5">
      <w:pPr>
        <w:suppressAutoHyphens/>
        <w:bidi w:val="0"/>
        <w:spacing w:line="580" w:lineRule="exact"/>
        <w:ind w:firstLine="640" w:firstLineChars="200"/>
        <w:rPr>
          <w:rFonts w:hint="eastAsia" w:ascii="Times New Roman" w:hAnsi="Times New Roman" w:eastAsia="仿宋_GB2312" w:cs="仿宋_GB2312"/>
          <w:sz w:val="32"/>
          <w:szCs w:val="32"/>
        </w:rPr>
      </w:pPr>
      <w:r>
        <w:rPr>
          <w:rFonts w:hint="eastAsia" w:ascii="Times New Roman" w:hAnsi="Times New Roman" w:eastAsia="仿宋_GB2312" w:cs="仿宋_GB2312"/>
          <w:sz w:val="32"/>
          <w:szCs w:val="32"/>
        </w:rPr>
        <w:t>（三）作品须为2024年以来创作的原创作品，无抄袭、仿冒等侵权行为，不得侵犯任何第三方的知识产权或其他合法权利。凡提交作品引发的版权、肖像权等法律纠纷，一切法律责任均由申报单位承担。</w:t>
      </w:r>
    </w:p>
    <w:p w14:paraId="3BC9C94C">
      <w:pPr>
        <w:suppressAutoHyphens/>
        <w:bidi w:val="0"/>
        <w:spacing w:line="580" w:lineRule="exact"/>
        <w:ind w:firstLine="640" w:firstLineChars="200"/>
        <w:rPr>
          <w:rFonts w:hint="eastAsia" w:ascii="Times New Roman" w:hAnsi="Times New Roman" w:eastAsia="仿宋_GB2312" w:cs="仿宋_GB2312"/>
          <w:sz w:val="32"/>
          <w:szCs w:val="32"/>
        </w:rPr>
      </w:pPr>
      <w:r>
        <w:rPr>
          <w:rFonts w:hint="eastAsia" w:ascii="Times New Roman" w:hAnsi="Times New Roman" w:eastAsia="仿宋_GB2312" w:cs="仿宋_GB2312"/>
          <w:sz w:val="32"/>
          <w:szCs w:val="32"/>
        </w:rPr>
        <w:t>（四）作品不得涉及国家秘密、工作秘密、商业秘密及其他敏感信息，确保提交内容符合国家保密法律法规及相关管理规定，因泄密产生的一切责任由申报单位承担。</w:t>
      </w:r>
    </w:p>
    <w:p w14:paraId="347C6A24">
      <w:pPr>
        <w:suppressAutoHyphens/>
        <w:bidi w:val="0"/>
        <w:spacing w:line="580" w:lineRule="exact"/>
        <w:ind w:firstLine="640" w:firstLineChars="200"/>
        <w:rPr>
          <w:rFonts w:hint="eastAsia" w:ascii="Times New Roman" w:hAnsi="Times New Roman" w:eastAsia="仿宋_GB2312" w:cs="仿宋_GB2312"/>
          <w:sz w:val="32"/>
          <w:szCs w:val="32"/>
        </w:rPr>
      </w:pPr>
      <w:r>
        <w:rPr>
          <w:rFonts w:hint="eastAsia" w:ascii="Times New Roman" w:hAnsi="Times New Roman" w:eastAsia="仿宋_GB2312" w:cs="仿宋_GB2312"/>
          <w:sz w:val="32"/>
          <w:szCs w:val="32"/>
        </w:rPr>
        <w:t>（五）中国科协拥有对申报作品的公益使用权，可用于各类公益科普宣传活动，无需另行征得申报推荐单位同意。</w:t>
      </w:r>
    </w:p>
    <w:p w14:paraId="4780F524">
      <w:pPr>
        <w:pStyle w:val="2"/>
        <w:keepNext w:val="0"/>
        <w:keepLines w:val="0"/>
        <w:suppressAutoHyphens/>
        <w:bidi w:val="0"/>
        <w:spacing w:line="580" w:lineRule="exact"/>
        <w:ind w:firstLine="640"/>
        <w:rPr>
          <w:rFonts w:hint="eastAsia" w:ascii="Times New Roman" w:hAnsi="Times New Roman"/>
        </w:rPr>
      </w:pPr>
      <w:r>
        <w:rPr>
          <w:rFonts w:hint="eastAsia" w:ascii="Times New Roman" w:hAnsi="Times New Roman"/>
        </w:rPr>
        <w:t>五、组织实施</w:t>
      </w:r>
    </w:p>
    <w:p w14:paraId="5E7314D1">
      <w:pPr>
        <w:suppressAutoHyphens/>
        <w:bidi w:val="0"/>
        <w:spacing w:line="580" w:lineRule="exact"/>
        <w:ind w:firstLine="640" w:firstLineChars="200"/>
        <w:rPr>
          <w:rFonts w:hint="eastAsia" w:ascii="Times New Roman" w:hAnsi="Times New Roman" w:eastAsia="楷体_GB2312" w:cs="楷体_GB2312"/>
          <w:bCs/>
          <w:sz w:val="32"/>
          <w:szCs w:val="32"/>
          <w:lang w:bidi="ar"/>
        </w:rPr>
      </w:pPr>
      <w:r>
        <w:rPr>
          <w:rFonts w:hint="eastAsia" w:ascii="Times New Roman" w:hAnsi="Times New Roman" w:eastAsia="楷体_GB2312" w:cs="楷体_GB2312"/>
          <w:bCs/>
          <w:sz w:val="32"/>
          <w:szCs w:val="32"/>
          <w:lang w:bidi="ar"/>
        </w:rPr>
        <w:t>（一）活动组织</w:t>
      </w:r>
    </w:p>
    <w:p w14:paraId="0F0D79BF">
      <w:pPr>
        <w:suppressAutoHyphens/>
        <w:bidi w:val="0"/>
        <w:spacing w:line="580" w:lineRule="exact"/>
        <w:ind w:firstLine="640" w:firstLineChars="200"/>
        <w:rPr>
          <w:rFonts w:hint="eastAsia" w:ascii="Times New Roman" w:hAnsi="Times New Roman" w:eastAsia="仿宋_GB2312" w:cs="仿宋_GB2312"/>
          <w:sz w:val="32"/>
          <w:szCs w:val="32"/>
        </w:rPr>
      </w:pPr>
      <w:r>
        <w:rPr>
          <w:rFonts w:hint="eastAsia" w:ascii="Times New Roman" w:hAnsi="Times New Roman" w:eastAsia="仿宋_GB2312" w:cs="仿宋_GB2312"/>
          <w:bCs/>
          <w:sz w:val="32"/>
          <w:szCs w:val="32"/>
        </w:rPr>
        <w:t>本次活动由纲要办组织，中国科协统筹实施。纲要办成员单位负责本系统的组织动员和申报推荐工作；各全国学会、省级科协负责本系统、本地区的组织动员和申报推荐工作；高校科协、园区（企业）科协和其他主体申报推荐工作由属地省级科协统筹</w:t>
      </w:r>
      <w:r>
        <w:rPr>
          <w:rFonts w:hint="eastAsia" w:ascii="Times New Roman" w:hAnsi="Times New Roman" w:eastAsia="仿宋_GB2312" w:cs="仿宋_GB2312"/>
          <w:sz w:val="32"/>
          <w:szCs w:val="32"/>
        </w:rPr>
        <w:t>。</w:t>
      </w:r>
    </w:p>
    <w:p w14:paraId="7BBCFABC">
      <w:pPr>
        <w:suppressAutoHyphens/>
        <w:bidi w:val="0"/>
        <w:spacing w:line="580" w:lineRule="exact"/>
        <w:ind w:firstLine="640" w:firstLineChars="200"/>
        <w:jc w:val="left"/>
        <w:rPr>
          <w:rFonts w:hint="eastAsia" w:ascii="Times New Roman" w:hAnsi="Times New Roman" w:eastAsia="仿宋_GB2312" w:cs="仿宋_GB2312"/>
          <w:sz w:val="32"/>
          <w:szCs w:val="32"/>
        </w:rPr>
      </w:pPr>
      <w:r>
        <w:rPr>
          <w:rFonts w:hint="eastAsia" w:ascii="Times New Roman" w:hAnsi="Times New Roman" w:eastAsia="仿宋_GB2312" w:cs="仿宋_GB2312"/>
          <w:sz w:val="32"/>
          <w:szCs w:val="32"/>
        </w:rPr>
        <w:t>各推荐主体可通过组织专项征集、赛事遴选等方式，广泛收集本地区、本系统、本领域的优质科普资源，择优进行推荐。纲要办成员单位、全国学会、省级科协原则上在组织初评的基础上，完成推荐工作。</w:t>
      </w:r>
    </w:p>
    <w:p w14:paraId="2BE71F42">
      <w:pPr>
        <w:suppressAutoHyphens/>
        <w:bidi w:val="0"/>
        <w:spacing w:line="580" w:lineRule="exact"/>
        <w:ind w:firstLine="640" w:firstLineChars="200"/>
        <w:rPr>
          <w:rFonts w:hint="eastAsia" w:ascii="Times New Roman" w:hAnsi="Times New Roman" w:eastAsia="仿宋_GB2312" w:cs="仿宋_GB2312"/>
          <w:sz w:val="32"/>
          <w:szCs w:val="32"/>
        </w:rPr>
      </w:pPr>
      <w:r>
        <w:rPr>
          <w:rFonts w:hint="eastAsia" w:ascii="Times New Roman" w:hAnsi="Times New Roman" w:eastAsia="仿宋_GB2312" w:cs="仿宋_GB2312"/>
          <w:bCs/>
          <w:sz w:val="32"/>
          <w:szCs w:val="32"/>
        </w:rPr>
        <w:t>活动</w:t>
      </w:r>
      <w:r>
        <w:rPr>
          <w:rFonts w:hint="eastAsia" w:ascii="Times New Roman" w:hAnsi="Times New Roman" w:eastAsia="仿宋_GB2312" w:cs="仿宋_GB2312"/>
          <w:sz w:val="32"/>
          <w:szCs w:val="32"/>
        </w:rPr>
        <w:t>坚持公益普惠工作导向，活动不设等级奖项，避免评奖功利化误区，重点考量作品的科普实效与社会影响力，引导科普创作向专业化、精细化方向深耕，着力打造科普社会化工作品牌。</w:t>
      </w:r>
    </w:p>
    <w:p w14:paraId="62CBFA55">
      <w:pPr>
        <w:suppressAutoHyphens/>
        <w:bidi w:val="0"/>
        <w:spacing w:line="580" w:lineRule="exact"/>
        <w:ind w:firstLine="640" w:firstLineChars="200"/>
        <w:jc w:val="left"/>
        <w:rPr>
          <w:rFonts w:hint="eastAsia" w:ascii="Times New Roman" w:hAnsi="Times New Roman" w:eastAsia="楷体_GB2312" w:cs="楷体_GB2312"/>
          <w:bCs/>
          <w:sz w:val="32"/>
          <w:szCs w:val="32"/>
          <w:lang w:bidi="ar"/>
        </w:rPr>
      </w:pPr>
      <w:r>
        <w:rPr>
          <w:rFonts w:hint="eastAsia" w:ascii="Times New Roman" w:hAnsi="Times New Roman" w:eastAsia="楷体_GB2312" w:cs="楷体_GB2312"/>
          <w:bCs/>
          <w:sz w:val="32"/>
          <w:szCs w:val="32"/>
          <w:lang w:bidi="ar"/>
        </w:rPr>
        <w:t>（二）活动时间</w:t>
      </w:r>
    </w:p>
    <w:p w14:paraId="0AD328F0">
      <w:pPr>
        <w:suppressAutoHyphens/>
        <w:bidi w:val="0"/>
        <w:spacing w:line="580" w:lineRule="exact"/>
        <w:ind w:firstLine="640" w:firstLineChars="200"/>
        <w:jc w:val="left"/>
        <w:rPr>
          <w:rFonts w:hint="eastAsia" w:ascii="Times New Roman" w:hAnsi="Times New Roman" w:eastAsia="仿宋_GB2312" w:cs="仿宋_GB2312"/>
          <w:sz w:val="32"/>
          <w:szCs w:val="32"/>
        </w:rPr>
      </w:pPr>
      <w:r>
        <w:rPr>
          <w:rFonts w:hint="eastAsia" w:ascii="Times New Roman" w:hAnsi="Times New Roman" w:eastAsia="仿宋_GB2312" w:cs="仿宋_GB2312"/>
          <w:sz w:val="32"/>
          <w:szCs w:val="32"/>
        </w:rPr>
        <w:t>活动于2026年6月至2026年9月进行，包括作品征集、作品评审、作品发布、集中展示等阶段。2026年10月后持续推动传播使用。</w:t>
      </w:r>
    </w:p>
    <w:p w14:paraId="799C661C">
      <w:pPr>
        <w:suppressAutoHyphens/>
        <w:bidi w:val="0"/>
        <w:spacing w:line="580" w:lineRule="exact"/>
        <w:ind w:firstLine="640" w:firstLineChars="200"/>
        <w:jc w:val="left"/>
        <w:rPr>
          <w:rFonts w:hint="eastAsia" w:ascii="Times New Roman" w:hAnsi="Times New Roman" w:eastAsia="楷体_GB2312" w:cs="楷体_GB2312"/>
          <w:bCs/>
          <w:sz w:val="32"/>
          <w:szCs w:val="32"/>
          <w:lang w:bidi="ar"/>
        </w:rPr>
      </w:pPr>
      <w:r>
        <w:rPr>
          <w:rFonts w:hint="eastAsia" w:ascii="Times New Roman" w:hAnsi="Times New Roman" w:eastAsia="楷体_GB2312" w:cs="楷体_GB2312"/>
          <w:bCs/>
          <w:sz w:val="32"/>
          <w:szCs w:val="32"/>
          <w:lang w:bidi="ar"/>
        </w:rPr>
        <w:t>（三）推荐名额</w:t>
      </w:r>
    </w:p>
    <w:p w14:paraId="5A6A3CE7">
      <w:pPr>
        <w:suppressAutoHyphens/>
        <w:bidi w:val="0"/>
        <w:spacing w:line="580" w:lineRule="exact"/>
        <w:ind w:firstLine="640" w:firstLineChars="200"/>
        <w:jc w:val="left"/>
        <w:rPr>
          <w:rFonts w:hint="eastAsia" w:ascii="Times New Roman" w:hAnsi="Times New Roman" w:eastAsia="仿宋_GB2312" w:cs="仿宋_GB2312"/>
          <w:sz w:val="32"/>
          <w:szCs w:val="32"/>
        </w:rPr>
      </w:pPr>
      <w:r>
        <w:rPr>
          <w:rFonts w:hint="eastAsia" w:ascii="Times New Roman" w:hAnsi="Times New Roman" w:eastAsia="仿宋_GB2312" w:cs="仿宋_GB2312"/>
          <w:sz w:val="32"/>
          <w:szCs w:val="32"/>
        </w:rPr>
        <w:t>纲要办成员单位推荐作品不超过300个；全国学会推荐作品不超过50个；省级科协推荐作品不超过300个。</w:t>
      </w:r>
    </w:p>
    <w:p w14:paraId="2D3C73A7">
      <w:pPr>
        <w:suppressAutoHyphens/>
        <w:bidi w:val="0"/>
        <w:spacing w:line="580" w:lineRule="exact"/>
        <w:ind w:firstLine="640" w:firstLineChars="200"/>
        <w:jc w:val="left"/>
        <w:rPr>
          <w:rFonts w:hint="eastAsia" w:ascii="Times New Roman" w:hAnsi="Times New Roman" w:eastAsia="仿宋_GB2312" w:cs="仿宋_GB2312"/>
          <w:sz w:val="32"/>
          <w:szCs w:val="32"/>
        </w:rPr>
      </w:pPr>
      <w:r>
        <w:rPr>
          <w:rFonts w:hint="eastAsia" w:ascii="Times New Roman" w:hAnsi="Times New Roman" w:eastAsia="仿宋_GB2312" w:cs="仿宋_GB2312"/>
          <w:sz w:val="32"/>
          <w:szCs w:val="32"/>
        </w:rPr>
        <w:t>省级科协推荐本辖区</w:t>
      </w:r>
      <w:r>
        <w:rPr>
          <w:rFonts w:hint="eastAsia" w:ascii="Times New Roman" w:hAnsi="Times New Roman" w:eastAsia="仿宋_GB2312" w:cs="仿宋_GB2312"/>
          <w:bCs/>
          <w:sz w:val="32"/>
          <w:szCs w:val="32"/>
        </w:rPr>
        <w:t>高校科协、园区（企业）科协</w:t>
      </w:r>
      <w:r>
        <w:rPr>
          <w:rFonts w:hint="eastAsia" w:ascii="Times New Roman" w:hAnsi="Times New Roman" w:eastAsia="仿宋_GB2312" w:cs="仿宋_GB2312"/>
          <w:sz w:val="32"/>
          <w:szCs w:val="32"/>
        </w:rPr>
        <w:t>作品分别不超过100个，推荐本辖区其他申报主体作品不超过100个。</w:t>
      </w:r>
      <w:r>
        <w:rPr>
          <w:rFonts w:hint="eastAsia" w:ascii="Times New Roman" w:hAnsi="Times New Roman" w:eastAsia="仿宋_GB2312" w:cs="仿宋_GB2312"/>
          <w:bCs/>
          <w:sz w:val="32"/>
          <w:szCs w:val="32"/>
        </w:rPr>
        <w:t>高校科协、园区（企业）科协和其他主体推荐作品不占用省级科协推荐名额。</w:t>
      </w:r>
    </w:p>
    <w:p w14:paraId="07390C89">
      <w:pPr>
        <w:pStyle w:val="2"/>
        <w:keepNext w:val="0"/>
        <w:keepLines w:val="0"/>
        <w:suppressAutoHyphens/>
        <w:bidi w:val="0"/>
        <w:spacing w:line="580" w:lineRule="exact"/>
        <w:ind w:firstLine="640"/>
        <w:rPr>
          <w:rFonts w:hint="eastAsia" w:ascii="Times New Roman" w:hAnsi="Times New Roman"/>
        </w:rPr>
      </w:pPr>
      <w:r>
        <w:rPr>
          <w:rFonts w:hint="eastAsia" w:ascii="Times New Roman" w:hAnsi="Times New Roman"/>
        </w:rPr>
        <w:t>六、作品使用</w:t>
      </w:r>
    </w:p>
    <w:p w14:paraId="106EBB80">
      <w:pPr>
        <w:suppressAutoHyphens/>
        <w:bidi w:val="0"/>
        <w:spacing w:line="580" w:lineRule="exact"/>
        <w:ind w:firstLine="640" w:firstLineChars="200"/>
        <w:rPr>
          <w:rFonts w:hint="eastAsia" w:ascii="Times New Roman" w:hAnsi="Times New Roman" w:eastAsia="仿宋_GB2312" w:cs="仿宋_GB2312"/>
          <w:sz w:val="32"/>
          <w:szCs w:val="32"/>
        </w:rPr>
      </w:pPr>
      <w:r>
        <w:rPr>
          <w:rFonts w:hint="eastAsia" w:ascii="Times New Roman" w:hAnsi="Times New Roman" w:eastAsia="仿宋_GB2312" w:cs="仿宋_GB2312"/>
          <w:sz w:val="32"/>
          <w:szCs w:val="32"/>
        </w:rPr>
        <w:t>（一）本次征集的优质科普资源，将全部用于社会公益科普宣传，切实保障科普公益属性。</w:t>
      </w:r>
    </w:p>
    <w:p w14:paraId="7E1D1BDF">
      <w:pPr>
        <w:suppressAutoHyphens/>
        <w:bidi w:val="0"/>
        <w:spacing w:line="580" w:lineRule="exact"/>
        <w:ind w:firstLine="640" w:firstLineChars="200"/>
        <w:rPr>
          <w:rFonts w:hint="eastAsia" w:ascii="Times New Roman" w:hAnsi="Times New Roman" w:eastAsia="仿宋_GB2312" w:cs="仿宋_GB2312"/>
          <w:sz w:val="32"/>
          <w:szCs w:val="32"/>
        </w:rPr>
      </w:pPr>
      <w:r>
        <w:rPr>
          <w:rFonts w:hint="eastAsia" w:ascii="Times New Roman" w:hAnsi="Times New Roman" w:eastAsia="仿宋_GB2312" w:cs="仿宋_GB2312"/>
          <w:sz w:val="32"/>
          <w:szCs w:val="32"/>
        </w:rPr>
        <w:t>（二）所有入选的优质科普资源，将统一纳入“科普中国”优质科普资源库等科普平台，并向创作者或权属人发放“科普中国”优质科普资源入选证书。</w:t>
      </w:r>
    </w:p>
    <w:p w14:paraId="5E9F3596">
      <w:pPr>
        <w:suppressAutoHyphens/>
        <w:bidi w:val="0"/>
        <w:spacing w:line="580" w:lineRule="exact"/>
        <w:ind w:firstLine="664" w:firstLineChars="200"/>
        <w:rPr>
          <w:rFonts w:hint="eastAsia" w:ascii="Times New Roman" w:hAnsi="Times New Roman" w:eastAsia="仿宋_GB2312" w:cs="仿宋_GB2312"/>
          <w:spacing w:val="6"/>
          <w:sz w:val="32"/>
          <w:szCs w:val="32"/>
          <w:lang w:bidi="ar"/>
        </w:rPr>
      </w:pPr>
      <w:r>
        <w:rPr>
          <w:rFonts w:hint="eastAsia" w:ascii="Times New Roman" w:hAnsi="Times New Roman" w:eastAsia="仿宋_GB2312" w:cs="仿宋_GB2312"/>
          <w:spacing w:val="6"/>
          <w:sz w:val="32"/>
          <w:szCs w:val="32"/>
        </w:rPr>
        <w:t>（三）</w:t>
      </w:r>
      <w:r>
        <w:rPr>
          <w:rStyle w:val="7"/>
          <w:rFonts w:hint="eastAsia" w:ascii="Times New Roman" w:hAnsi="Times New Roman" w:eastAsia="仿宋_GB2312" w:cs="仿宋_GB2312"/>
          <w:b w:val="0"/>
          <w:spacing w:val="6"/>
          <w:sz w:val="32"/>
          <w:szCs w:val="32"/>
          <w:lang w:bidi="ar"/>
        </w:rPr>
        <w:t>在</w:t>
      </w:r>
      <w:r>
        <w:rPr>
          <w:rFonts w:hint="eastAsia" w:ascii="Times New Roman" w:hAnsi="Times New Roman" w:eastAsia="仿宋_GB2312" w:cs="仿宋_GB2312"/>
          <w:spacing w:val="6"/>
          <w:sz w:val="32"/>
          <w:szCs w:val="32"/>
          <w:lang w:bidi="ar"/>
        </w:rPr>
        <w:t>2026年全国</w:t>
      </w:r>
      <w:r>
        <w:rPr>
          <w:rStyle w:val="7"/>
          <w:rFonts w:hint="eastAsia" w:ascii="Times New Roman" w:hAnsi="Times New Roman" w:eastAsia="仿宋_GB2312" w:cs="仿宋_GB2312"/>
          <w:b w:val="0"/>
          <w:spacing w:val="6"/>
          <w:sz w:val="32"/>
          <w:szCs w:val="32"/>
          <w:lang w:bidi="ar"/>
        </w:rPr>
        <w:t>科普月主场活动</w:t>
      </w:r>
      <w:r>
        <w:rPr>
          <w:rFonts w:hint="eastAsia" w:ascii="Times New Roman" w:hAnsi="Times New Roman" w:eastAsia="仿宋_GB2312" w:cs="仿宋_GB2312"/>
          <w:spacing w:val="6"/>
          <w:sz w:val="32"/>
          <w:szCs w:val="32"/>
          <w:lang w:bidi="ar"/>
        </w:rPr>
        <w:t>中</w:t>
      </w:r>
      <w:r>
        <w:rPr>
          <w:rStyle w:val="7"/>
          <w:rFonts w:hint="eastAsia" w:ascii="Times New Roman" w:hAnsi="Times New Roman" w:eastAsia="仿宋_GB2312" w:cs="仿宋_GB2312"/>
          <w:b w:val="0"/>
          <w:spacing w:val="6"/>
          <w:sz w:val="32"/>
          <w:szCs w:val="32"/>
          <w:lang w:bidi="ar"/>
        </w:rPr>
        <w:t>举办优质科普作品展</w:t>
      </w:r>
      <w:r>
        <w:rPr>
          <w:rFonts w:hint="eastAsia" w:ascii="Times New Roman" w:hAnsi="Times New Roman" w:eastAsia="仿宋_GB2312" w:cs="仿宋_GB2312"/>
          <w:spacing w:val="6"/>
          <w:sz w:val="32"/>
          <w:szCs w:val="32"/>
          <w:lang w:bidi="ar"/>
        </w:rPr>
        <w:t>。展示征集的优质成果，搭建示范引领平台，放大活动品牌效应。</w:t>
      </w:r>
    </w:p>
    <w:p w14:paraId="514BACEF">
      <w:pPr>
        <w:suppressAutoHyphens/>
        <w:bidi w:val="0"/>
        <w:spacing w:line="580" w:lineRule="exact"/>
        <w:ind w:firstLine="640" w:firstLineChars="200"/>
        <w:rPr>
          <w:rFonts w:hint="eastAsia" w:ascii="Times New Roman" w:hAnsi="Times New Roman" w:eastAsia="仿宋_GB2312" w:cs="仿宋_GB2312"/>
          <w:sz w:val="32"/>
          <w:szCs w:val="32"/>
        </w:rPr>
      </w:pPr>
      <w:r>
        <w:rPr>
          <w:rFonts w:hint="eastAsia" w:ascii="Times New Roman" w:hAnsi="Times New Roman" w:eastAsia="仿宋_GB2312" w:cs="仿宋_GB2312"/>
          <w:sz w:val="32"/>
          <w:szCs w:val="32"/>
          <w:lang w:bidi="ar"/>
        </w:rPr>
        <w:t>（四）</w:t>
      </w:r>
      <w:r>
        <w:rPr>
          <w:rFonts w:hint="eastAsia" w:ascii="Times New Roman" w:hAnsi="Times New Roman" w:eastAsia="仿宋_GB2312" w:cs="仿宋_GB2312"/>
          <w:sz w:val="32"/>
          <w:szCs w:val="32"/>
        </w:rPr>
        <w:t>优质科普资源库的作品将通过“科普中国”平台、主流媒体等渠道广泛传播，并择优向中央级宣传平台推荐。</w:t>
      </w:r>
    </w:p>
    <w:p w14:paraId="3EF582F6">
      <w:pPr>
        <w:suppressAutoHyphens/>
        <w:bidi w:val="0"/>
        <w:spacing w:line="580" w:lineRule="exact"/>
        <w:ind w:firstLine="640" w:firstLineChars="200"/>
        <w:rPr>
          <w:rFonts w:hint="eastAsia" w:ascii="Times New Roman" w:hAnsi="Times New Roman" w:eastAsia="仿宋_GB2312" w:cs="仿宋_GB2312"/>
          <w:sz w:val="32"/>
          <w:szCs w:val="32"/>
          <w:lang w:bidi="ar"/>
        </w:rPr>
      </w:pPr>
      <w:r>
        <w:rPr>
          <w:rFonts w:hint="eastAsia" w:ascii="Times New Roman" w:hAnsi="Times New Roman" w:eastAsia="仿宋_GB2312" w:cs="仿宋_GB2312"/>
          <w:sz w:val="32"/>
          <w:szCs w:val="32"/>
        </w:rPr>
        <w:t>（五）</w:t>
      </w:r>
      <w:r>
        <w:rPr>
          <w:rFonts w:hint="eastAsia" w:ascii="Times New Roman" w:hAnsi="Times New Roman" w:eastAsia="仿宋_GB2312" w:cs="仿宋_GB2312"/>
          <w:sz w:val="32"/>
          <w:szCs w:val="32"/>
          <w:lang w:bidi="ar"/>
        </w:rPr>
        <w:t>对适配性高、社会反响好的入选作品，分类推荐至科技馆、全国科普教育基地、星火馆等阵地使用。</w:t>
      </w:r>
    </w:p>
    <w:p w14:paraId="3517AA2B">
      <w:pPr>
        <w:suppressAutoHyphens/>
        <w:bidi w:val="0"/>
        <w:spacing w:line="580" w:lineRule="exact"/>
        <w:ind w:firstLine="640" w:firstLineChars="200"/>
        <w:rPr>
          <w:rFonts w:hint="eastAsia" w:ascii="Times New Roman" w:hAnsi="Times New Roman" w:eastAsia="仿宋_GB2312" w:cs="仿宋_GB2312"/>
          <w:sz w:val="32"/>
          <w:szCs w:val="32"/>
          <w:lang w:bidi="ar"/>
        </w:rPr>
      </w:pPr>
      <w:r>
        <w:rPr>
          <w:rFonts w:hint="eastAsia" w:ascii="Times New Roman" w:hAnsi="Times New Roman" w:eastAsia="仿宋_GB2312" w:cs="仿宋_GB2312"/>
          <w:sz w:val="32"/>
          <w:szCs w:val="32"/>
          <w:lang w:bidi="ar"/>
        </w:rPr>
        <w:t>（六）支持优质科普作品进行二次开发、系列化创作。</w:t>
      </w:r>
    </w:p>
    <w:p w14:paraId="6DFE4D51">
      <w:pPr>
        <w:suppressAutoHyphens/>
        <w:bidi w:val="0"/>
        <w:spacing w:line="580" w:lineRule="exact"/>
        <w:ind w:firstLine="640" w:firstLineChars="200"/>
        <w:rPr>
          <w:rFonts w:hint="eastAsia" w:ascii="Times New Roman" w:hAnsi="Times New Roman" w:eastAsia="仿宋_GB2312" w:cs="仿宋_GB2312"/>
          <w:sz w:val="32"/>
          <w:szCs w:val="32"/>
          <w:lang w:bidi="ar"/>
        </w:rPr>
      </w:pPr>
      <w:r>
        <w:rPr>
          <w:rFonts w:hint="eastAsia" w:ascii="Times New Roman" w:hAnsi="Times New Roman" w:eastAsia="仿宋_GB2312" w:cs="仿宋_GB2312"/>
          <w:sz w:val="32"/>
          <w:szCs w:val="32"/>
          <w:lang w:bidi="ar"/>
        </w:rPr>
        <w:t>（七）科普作品征集数量、质量情况，将作为全国学会科普工作考核的重要评价指标。</w:t>
      </w:r>
    </w:p>
    <w:p w14:paraId="5D494268">
      <w:pPr>
        <w:suppressAutoHyphens/>
        <w:bidi w:val="0"/>
        <w:spacing w:line="580" w:lineRule="exact"/>
        <w:ind w:firstLine="640" w:firstLineChars="200"/>
        <w:rPr>
          <w:rFonts w:hint="eastAsia" w:ascii="Times New Roman" w:hAnsi="Times New Roman" w:eastAsia="仿宋_GB2312" w:cs="仿宋_GB2312"/>
          <w:sz w:val="32"/>
          <w:szCs w:val="32"/>
          <w:lang w:bidi="ar"/>
        </w:rPr>
      </w:pPr>
      <w:r>
        <w:rPr>
          <w:rFonts w:hint="eastAsia" w:ascii="Times New Roman" w:hAnsi="Times New Roman" w:eastAsia="仿宋_GB2312" w:cs="仿宋_GB2312"/>
          <w:sz w:val="32"/>
          <w:szCs w:val="32"/>
          <w:lang w:bidi="ar"/>
        </w:rPr>
        <w:t>（八）</w:t>
      </w:r>
      <w:r>
        <w:rPr>
          <w:rFonts w:hint="eastAsia" w:ascii="Times New Roman" w:hAnsi="Times New Roman" w:eastAsia="仿宋_GB2312" w:cs="仿宋_GB2312"/>
          <w:kern w:val="0"/>
          <w:sz w:val="32"/>
          <w:szCs w:val="32"/>
          <w:lang w:bidi="ar"/>
        </w:rPr>
        <w:t>鼓励各地区、各单位将优质科普创作成果作为创作者职称评定、评优评先、参评奖项的重要参考。</w:t>
      </w:r>
    </w:p>
    <w:p w14:paraId="49C74ECD">
      <w:pPr>
        <w:pStyle w:val="2"/>
        <w:keepNext w:val="0"/>
        <w:keepLines w:val="0"/>
        <w:suppressAutoHyphens/>
        <w:bidi w:val="0"/>
        <w:ind w:firstLine="640"/>
        <w:rPr>
          <w:rFonts w:hint="eastAsia" w:ascii="Times New Roman" w:hAnsi="Times New Roman"/>
        </w:rPr>
      </w:pPr>
      <w:r>
        <w:rPr>
          <w:rFonts w:hint="eastAsia" w:ascii="Times New Roman" w:hAnsi="Times New Roman"/>
        </w:rPr>
        <w:t>七、报送要求</w:t>
      </w:r>
    </w:p>
    <w:p w14:paraId="3ED14B27">
      <w:pPr>
        <w:suppressAutoHyphens/>
        <w:bidi w:val="0"/>
        <w:spacing w:line="560" w:lineRule="exact"/>
        <w:ind w:firstLine="640" w:firstLineChars="200"/>
        <w:jc w:val="left"/>
        <w:rPr>
          <w:rFonts w:hint="eastAsia" w:ascii="Times New Roman" w:hAnsi="Times New Roman" w:eastAsia="楷体_GB2312" w:cs="楷体_GB2312"/>
          <w:bCs/>
          <w:sz w:val="32"/>
          <w:szCs w:val="32"/>
          <w:lang w:bidi="ar"/>
        </w:rPr>
      </w:pPr>
      <w:r>
        <w:rPr>
          <w:rFonts w:hint="eastAsia" w:ascii="Times New Roman" w:hAnsi="Times New Roman" w:eastAsia="楷体_GB2312" w:cs="楷体_GB2312"/>
          <w:bCs/>
          <w:sz w:val="32"/>
          <w:szCs w:val="32"/>
          <w:lang w:bidi="ar"/>
        </w:rPr>
        <w:t>（一）管理员信息报送</w:t>
      </w:r>
    </w:p>
    <w:p w14:paraId="5A3412B3">
      <w:pPr>
        <w:suppressAutoHyphens/>
        <w:bidi w:val="0"/>
        <w:spacing w:line="560" w:lineRule="exact"/>
        <w:ind w:firstLine="548" w:firstLineChars="200"/>
        <w:rPr>
          <w:rFonts w:hint="eastAsia" w:ascii="Times New Roman" w:hAnsi="Times New Roman" w:eastAsia="仿宋_GB2312" w:cs="仿宋_GB2312"/>
          <w:sz w:val="32"/>
          <w:szCs w:val="32"/>
        </w:rPr>
      </w:pPr>
      <w:r>
        <w:rPr>
          <w:rFonts w:hint="eastAsia" w:ascii="Times New Roman" w:hAnsi="Times New Roman" w:eastAsia="仿宋_GB2312" w:cs="仿宋_GB2312"/>
          <w:spacing w:val="-23"/>
          <w:sz w:val="32"/>
          <w:szCs w:val="32"/>
          <w:lang w:bidi="ar"/>
        </w:rPr>
        <w:t>纲要办成员单位、全国学会和省级科协作为推荐单位须于2026年6月12日前登录管理平台（</w:t>
      </w:r>
      <w:r>
        <w:rPr>
          <w:rFonts w:ascii="Times New Roman" w:hAnsi="Times New Roman" w:eastAsia="仿宋_GB2312"/>
          <w:spacing w:val="-23"/>
          <w:sz w:val="32"/>
          <w:szCs w:val="32"/>
          <w:lang w:bidi="ar"/>
        </w:rPr>
        <w:t>https://kpzp.kepuchina.cn/#/kpzp/admin</w:t>
      </w:r>
      <w:r>
        <w:rPr>
          <w:rFonts w:hint="eastAsia" w:ascii="Times New Roman" w:hAnsi="Times New Roman" w:eastAsia="仿宋_GB2312" w:cs="仿宋_GB2312"/>
          <w:spacing w:val="-23"/>
          <w:sz w:val="32"/>
          <w:szCs w:val="32"/>
          <w:lang w:bidi="ar"/>
        </w:rPr>
        <w:t>）</w:t>
      </w:r>
      <w:r>
        <w:rPr>
          <w:rFonts w:hint="eastAsia" w:ascii="Times New Roman" w:hAnsi="Times New Roman" w:eastAsia="仿宋_GB2312" w:cs="仿宋_GB2312"/>
          <w:sz w:val="32"/>
          <w:szCs w:val="32"/>
          <w:lang w:bidi="ar"/>
        </w:rPr>
        <w:t>完成信息采集，明确管理员，经组织方核实信息后开通作品线上申报推荐权限。</w:t>
      </w:r>
      <w:r>
        <w:rPr>
          <w:rFonts w:hint="eastAsia" w:ascii="Times New Roman" w:hAnsi="Times New Roman" w:eastAsia="仿宋_GB2312" w:cs="仿宋_GB2312"/>
          <w:kern w:val="0"/>
          <w:sz w:val="32"/>
          <w:szCs w:val="32"/>
          <w:lang w:bidi="ar"/>
        </w:rPr>
        <w:t>各单位应固定管理员，非必要不更换。</w:t>
      </w:r>
    </w:p>
    <w:p w14:paraId="109916E0">
      <w:pPr>
        <w:suppressAutoHyphens/>
        <w:bidi w:val="0"/>
        <w:spacing w:line="560" w:lineRule="exact"/>
        <w:ind w:firstLine="640" w:firstLineChars="200"/>
        <w:jc w:val="left"/>
        <w:rPr>
          <w:rFonts w:hint="eastAsia" w:ascii="Times New Roman" w:hAnsi="Times New Roman" w:eastAsia="楷体_GB2312" w:cs="楷体_GB2312"/>
          <w:bCs/>
          <w:sz w:val="32"/>
          <w:szCs w:val="32"/>
          <w:lang w:bidi="ar"/>
        </w:rPr>
      </w:pPr>
      <w:r>
        <w:rPr>
          <w:rFonts w:hint="eastAsia" w:ascii="Times New Roman" w:hAnsi="Times New Roman" w:eastAsia="楷体_GB2312" w:cs="楷体_GB2312"/>
          <w:bCs/>
          <w:sz w:val="32"/>
          <w:szCs w:val="32"/>
          <w:lang w:bidi="ar"/>
        </w:rPr>
        <w:t>（二）作品线上申报</w:t>
      </w:r>
    </w:p>
    <w:p w14:paraId="54B87706">
      <w:pPr>
        <w:suppressAutoHyphens/>
        <w:bidi w:val="0"/>
        <w:spacing w:line="580" w:lineRule="exact"/>
        <w:ind w:firstLine="664" w:firstLineChars="200"/>
        <w:jc w:val="left"/>
        <w:rPr>
          <w:rFonts w:hint="eastAsia" w:ascii="Times New Roman" w:hAnsi="Times New Roman" w:eastAsia="仿宋_GB2312" w:cs="仿宋_GB2312"/>
          <w:spacing w:val="6"/>
          <w:sz w:val="32"/>
          <w:szCs w:val="32"/>
        </w:rPr>
      </w:pPr>
      <w:r>
        <w:rPr>
          <w:rFonts w:hint="eastAsia" w:ascii="Times New Roman" w:hAnsi="Times New Roman" w:eastAsia="仿宋_GB2312" w:cs="仿宋_GB2312"/>
          <w:spacing w:val="6"/>
          <w:sz w:val="32"/>
          <w:szCs w:val="32"/>
          <w:lang w:bidi="ar"/>
        </w:rPr>
        <w:t>作品申报时间为2026年6月15日至7月5日，</w:t>
      </w:r>
      <w:r>
        <w:rPr>
          <w:rFonts w:hint="eastAsia" w:ascii="Times New Roman" w:hAnsi="Times New Roman" w:eastAsia="仿宋_GB2312" w:cs="仿宋_GB2312"/>
          <w:spacing w:val="6"/>
          <w:kern w:val="0"/>
          <w:sz w:val="32"/>
          <w:szCs w:val="32"/>
          <w:lang w:bidi="ar"/>
        </w:rPr>
        <w:t>逾期不再受理</w:t>
      </w:r>
      <w:r>
        <w:rPr>
          <w:rFonts w:hint="eastAsia" w:ascii="Times New Roman" w:hAnsi="Times New Roman" w:eastAsia="仿宋_GB2312" w:cs="仿宋_GB2312"/>
          <w:spacing w:val="6"/>
          <w:sz w:val="32"/>
          <w:szCs w:val="32"/>
          <w:lang w:bidi="ar"/>
        </w:rPr>
        <w:t>。</w:t>
      </w:r>
      <w:r>
        <w:rPr>
          <w:rFonts w:hint="eastAsia" w:ascii="Times New Roman" w:hAnsi="Times New Roman" w:eastAsia="仿宋_GB2312" w:cs="仿宋_GB2312"/>
          <w:spacing w:val="-23"/>
          <w:sz w:val="32"/>
          <w:szCs w:val="32"/>
          <w:lang w:bidi="ar"/>
        </w:rPr>
        <w:t>各申报主体通过申报系统（</w:t>
      </w:r>
      <w:r>
        <w:rPr>
          <w:rFonts w:ascii="Times New Roman" w:hAnsi="Times New Roman" w:eastAsia="仿宋_GB2312"/>
          <w:spacing w:val="-23"/>
          <w:sz w:val="32"/>
          <w:szCs w:val="32"/>
          <w:lang w:bidi="ar"/>
        </w:rPr>
        <w:t>https://kpzp.kepuchina.cn/</w:t>
      </w:r>
      <w:r>
        <w:rPr>
          <w:rFonts w:hint="eastAsia" w:ascii="Times New Roman" w:hAnsi="Times New Roman" w:eastAsia="仿宋_GB2312" w:cs="仿宋_GB2312"/>
          <w:spacing w:val="-23"/>
          <w:sz w:val="32"/>
          <w:szCs w:val="32"/>
          <w:lang w:bidi="ar"/>
        </w:rPr>
        <w:t>）</w:t>
      </w:r>
      <w:r>
        <w:rPr>
          <w:rFonts w:hint="eastAsia" w:ascii="Times New Roman" w:hAnsi="Times New Roman" w:eastAsia="仿宋_GB2312" w:cs="仿宋_GB2312"/>
          <w:spacing w:val="-23"/>
          <w:kern w:val="0"/>
          <w:sz w:val="32"/>
          <w:szCs w:val="32"/>
          <w:lang w:bidi="ar"/>
        </w:rPr>
        <w:t>在线</w:t>
      </w:r>
      <w:r>
        <w:rPr>
          <w:rFonts w:hint="eastAsia" w:ascii="Times New Roman" w:hAnsi="Times New Roman" w:eastAsia="仿宋_GB2312" w:cs="仿宋_GB2312"/>
          <w:spacing w:val="6"/>
          <w:kern w:val="0"/>
          <w:sz w:val="32"/>
          <w:szCs w:val="32"/>
          <w:lang w:bidi="ar"/>
        </w:rPr>
        <w:t>填报信息、上传全部申报材料，不接收纸质、邮件等线下报送材料。</w:t>
      </w:r>
    </w:p>
    <w:p w14:paraId="63625957">
      <w:pPr>
        <w:suppressAutoHyphens/>
        <w:bidi w:val="0"/>
        <w:spacing w:line="580" w:lineRule="exact"/>
        <w:ind w:firstLine="640" w:firstLineChars="200"/>
        <w:jc w:val="left"/>
        <w:rPr>
          <w:rFonts w:hint="eastAsia" w:ascii="Times New Roman" w:hAnsi="Times New Roman" w:eastAsia="楷体_GB2312" w:cs="楷体_GB2312"/>
          <w:bCs/>
          <w:sz w:val="32"/>
          <w:szCs w:val="32"/>
          <w:lang w:bidi="ar"/>
        </w:rPr>
      </w:pPr>
      <w:r>
        <w:rPr>
          <w:rFonts w:hint="eastAsia" w:ascii="Times New Roman" w:hAnsi="Times New Roman" w:eastAsia="楷体_GB2312" w:cs="楷体_GB2312"/>
          <w:bCs/>
          <w:sz w:val="32"/>
          <w:szCs w:val="32"/>
          <w:lang w:bidi="ar"/>
        </w:rPr>
        <w:t>（三）作品线上推荐</w:t>
      </w:r>
    </w:p>
    <w:p w14:paraId="6FC8AC82">
      <w:pPr>
        <w:suppressAutoHyphens/>
        <w:bidi w:val="0"/>
        <w:spacing w:line="580" w:lineRule="exact"/>
        <w:ind w:firstLine="640" w:firstLineChars="200"/>
        <w:rPr>
          <w:rFonts w:hint="eastAsia" w:ascii="Times New Roman" w:hAnsi="Times New Roman" w:eastAsia="仿宋_GB2312" w:cs="仿宋_GB2312"/>
          <w:sz w:val="32"/>
          <w:szCs w:val="32"/>
          <w:lang w:bidi="ar"/>
        </w:rPr>
      </w:pPr>
      <w:r>
        <w:rPr>
          <w:rFonts w:hint="eastAsia" w:ascii="Times New Roman" w:hAnsi="Times New Roman" w:eastAsia="仿宋_GB2312" w:cs="仿宋_GB2312"/>
          <w:sz w:val="32"/>
          <w:szCs w:val="32"/>
          <w:lang w:bidi="ar"/>
        </w:rPr>
        <w:t>纲要办成员单位、全国学会和省级科协应统筹做好作品推荐工作，严把内容审核关口，确保所荐作品信息真实、材料完整。</w:t>
      </w:r>
      <w:r>
        <w:rPr>
          <w:rFonts w:hint="eastAsia" w:ascii="Times New Roman" w:hAnsi="Times New Roman" w:eastAsia="仿宋_GB2312" w:cs="仿宋_GB2312"/>
          <w:spacing w:val="-28"/>
          <w:sz w:val="32"/>
          <w:szCs w:val="32"/>
          <w:lang w:bidi="ar"/>
        </w:rPr>
        <w:t>推荐工作通过管理平台（</w:t>
      </w:r>
      <w:r>
        <w:rPr>
          <w:rFonts w:ascii="Times New Roman" w:hAnsi="Times New Roman" w:eastAsia="仿宋_GB2312"/>
          <w:spacing w:val="-28"/>
          <w:sz w:val="32"/>
          <w:szCs w:val="32"/>
          <w:lang w:bidi="ar"/>
        </w:rPr>
        <w:t>https://kpzp.kepuchina.cn/#/kpzp/admin</w:t>
      </w:r>
      <w:r>
        <w:rPr>
          <w:rFonts w:hint="eastAsia" w:ascii="Times New Roman" w:hAnsi="Times New Roman" w:eastAsia="仿宋_GB2312" w:cs="仿宋_GB2312"/>
          <w:spacing w:val="-28"/>
          <w:sz w:val="32"/>
          <w:szCs w:val="32"/>
          <w:lang w:bidi="ar"/>
        </w:rPr>
        <w:t>）进行</w:t>
      </w:r>
      <w:r>
        <w:rPr>
          <w:rFonts w:hint="eastAsia" w:ascii="Times New Roman" w:hAnsi="Times New Roman" w:eastAsia="仿宋_GB2312" w:cs="仿宋_GB2312"/>
          <w:sz w:val="32"/>
          <w:szCs w:val="32"/>
          <w:lang w:bidi="ar"/>
        </w:rPr>
        <w:t>，推荐工作时限为2026年7月6日至7月19日。</w:t>
      </w:r>
    </w:p>
    <w:p w14:paraId="27588DB3">
      <w:pPr>
        <w:pStyle w:val="2"/>
        <w:suppressAutoHyphens/>
        <w:bidi w:val="0"/>
        <w:ind w:firstLine="640"/>
        <w:rPr>
          <w:rFonts w:hint="eastAsia" w:ascii="Times New Roman" w:hAnsi="Times New Roman"/>
        </w:rPr>
      </w:pPr>
      <w:r>
        <w:rPr>
          <w:rFonts w:hint="eastAsia" w:ascii="Times New Roman" w:hAnsi="Times New Roman"/>
        </w:rPr>
        <w:t>八、联系方式</w:t>
      </w:r>
    </w:p>
    <w:p w14:paraId="67C33A64">
      <w:pPr>
        <w:suppressAutoHyphens/>
        <w:bidi w:val="0"/>
        <w:spacing w:line="560" w:lineRule="exact"/>
        <w:ind w:firstLine="640" w:firstLineChars="200"/>
        <w:rPr>
          <w:rFonts w:hint="eastAsia" w:ascii="Times New Roman" w:hAnsi="Times New Roman" w:eastAsia="仿宋_GB2312" w:cs="仿宋_GB2312"/>
          <w:sz w:val="32"/>
          <w:szCs w:val="32"/>
          <w:lang w:bidi="ar"/>
        </w:rPr>
      </w:pPr>
      <w:r>
        <w:rPr>
          <w:rFonts w:hint="eastAsia" w:ascii="Times New Roman" w:hAnsi="Times New Roman" w:eastAsia="仿宋_GB2312" w:cs="仿宋_GB2312"/>
          <w:sz w:val="32"/>
          <w:szCs w:val="32"/>
          <w:lang w:bidi="ar"/>
        </w:rPr>
        <w:t>中国科协科普部</w:t>
      </w:r>
    </w:p>
    <w:p w14:paraId="77FD44E9">
      <w:pPr>
        <w:suppressAutoHyphens/>
        <w:bidi w:val="0"/>
        <w:spacing w:line="560" w:lineRule="exact"/>
        <w:ind w:firstLine="640" w:firstLineChars="200"/>
        <w:rPr>
          <w:rFonts w:hint="eastAsia" w:ascii="Times New Roman" w:hAnsi="Times New Roman" w:eastAsia="仿宋_GB2312" w:cs="仿宋_GB2312"/>
          <w:sz w:val="32"/>
          <w:szCs w:val="32"/>
          <w:lang w:bidi="ar"/>
        </w:rPr>
      </w:pPr>
      <w:r>
        <w:rPr>
          <w:rFonts w:hint="eastAsia" w:ascii="Times New Roman" w:hAnsi="Times New Roman" w:eastAsia="仿宋_GB2312" w:cs="仿宋_GB2312"/>
          <w:sz w:val="32"/>
          <w:szCs w:val="32"/>
          <w:lang w:bidi="ar"/>
        </w:rPr>
        <w:t>联 系 人：褚倩倩 程嘉宁</w:t>
      </w:r>
    </w:p>
    <w:p w14:paraId="2C573791">
      <w:pPr>
        <w:suppressAutoHyphens/>
        <w:bidi w:val="0"/>
        <w:spacing w:line="560" w:lineRule="exact"/>
        <w:ind w:firstLine="640" w:firstLineChars="200"/>
        <w:rPr>
          <w:rFonts w:hint="eastAsia" w:ascii="Times New Roman" w:hAnsi="Times New Roman" w:eastAsia="仿宋_GB2312" w:cs="仿宋_GB2312"/>
          <w:sz w:val="32"/>
          <w:szCs w:val="32"/>
          <w:lang w:bidi="ar"/>
        </w:rPr>
      </w:pPr>
      <w:r>
        <w:rPr>
          <w:rFonts w:hint="eastAsia" w:ascii="Times New Roman" w:hAnsi="Times New Roman" w:eastAsia="仿宋_GB2312" w:cs="仿宋_GB2312"/>
          <w:sz w:val="32"/>
          <w:szCs w:val="32"/>
          <w:lang w:bidi="ar"/>
        </w:rPr>
        <w:t>联系电话：010-68524993</w:t>
      </w:r>
    </w:p>
    <w:p w14:paraId="5BFB6296">
      <w:pPr>
        <w:suppressAutoHyphens/>
        <w:bidi w:val="0"/>
        <w:spacing w:line="560" w:lineRule="exact"/>
        <w:ind w:firstLine="640" w:firstLineChars="200"/>
        <w:rPr>
          <w:rFonts w:hint="eastAsia" w:ascii="Times New Roman" w:hAnsi="Times New Roman" w:eastAsia="仿宋_GB2312" w:cs="仿宋_GB2312"/>
          <w:sz w:val="32"/>
          <w:szCs w:val="32"/>
          <w:lang w:bidi="ar"/>
        </w:rPr>
      </w:pPr>
    </w:p>
    <w:p w14:paraId="3C6CF61C">
      <w:pPr>
        <w:suppressAutoHyphens/>
        <w:bidi w:val="0"/>
        <w:spacing w:line="560" w:lineRule="exact"/>
        <w:ind w:firstLine="640" w:firstLineChars="200"/>
        <w:rPr>
          <w:rFonts w:hint="eastAsia" w:ascii="Times New Roman" w:hAnsi="Times New Roman" w:eastAsia="仿宋_GB2312" w:cs="仿宋_GB2312"/>
          <w:sz w:val="32"/>
          <w:szCs w:val="32"/>
          <w:lang w:bidi="ar"/>
        </w:rPr>
      </w:pPr>
      <w:r>
        <w:rPr>
          <w:rFonts w:hint="eastAsia" w:ascii="Times New Roman" w:hAnsi="Times New Roman" w:eastAsia="仿宋_GB2312" w:cs="仿宋_GB2312"/>
          <w:sz w:val="32"/>
          <w:szCs w:val="32"/>
          <w:lang w:bidi="ar"/>
        </w:rPr>
        <w:t>管理平台技术保障：</w:t>
      </w:r>
    </w:p>
    <w:p w14:paraId="1FFD5095">
      <w:pPr>
        <w:suppressAutoHyphens/>
        <w:bidi w:val="0"/>
        <w:spacing w:line="560" w:lineRule="exact"/>
        <w:ind w:firstLine="640" w:firstLineChars="200"/>
        <w:rPr>
          <w:rFonts w:hint="eastAsia" w:ascii="Times New Roman" w:hAnsi="Times New Roman" w:eastAsia="仿宋_GB2312" w:cs="仿宋_GB2312"/>
          <w:sz w:val="32"/>
          <w:szCs w:val="32"/>
          <w:lang w:bidi="ar"/>
        </w:rPr>
      </w:pPr>
      <w:r>
        <w:rPr>
          <w:rFonts w:hint="eastAsia" w:ascii="Times New Roman" w:hAnsi="Times New Roman" w:eastAsia="仿宋_GB2312" w:cs="仿宋_GB2312"/>
          <w:sz w:val="32"/>
          <w:szCs w:val="32"/>
          <w:lang w:bidi="ar"/>
        </w:rPr>
        <w:t>联 系 人：龚天宇</w:t>
      </w:r>
    </w:p>
    <w:p w14:paraId="4E96E2CA">
      <w:pPr>
        <w:suppressAutoHyphens/>
        <w:bidi w:val="0"/>
        <w:spacing w:line="560" w:lineRule="exact"/>
        <w:ind w:firstLine="640" w:firstLineChars="200"/>
        <w:rPr>
          <w:rFonts w:ascii="Times New Roman" w:hAnsi="Times New Roman" w:eastAsia="仿宋_GB2312"/>
          <w:color w:val="000000"/>
          <w:sz w:val="32"/>
          <w:szCs w:val="32"/>
        </w:rPr>
      </w:pPr>
      <w:r>
        <w:rPr>
          <w:rFonts w:hint="eastAsia" w:ascii="Times New Roman" w:hAnsi="Times New Roman" w:eastAsia="仿宋_GB2312" w:cs="仿宋_GB2312"/>
          <w:sz w:val="32"/>
          <w:szCs w:val="32"/>
          <w:lang w:bidi="ar"/>
        </w:rPr>
        <w:t>联系电话：18612473958</w:t>
      </w:r>
    </w:p>
    <w:p w14:paraId="194236FF">
      <w:pPr>
        <w:suppressAutoHyphens/>
        <w:bidi w:val="0"/>
        <w:spacing w:line="600" w:lineRule="exact"/>
        <w:ind w:firstLine="3680" w:firstLineChars="1150"/>
        <w:rPr>
          <w:rFonts w:hint="eastAsia" w:ascii="Times New Roman" w:hAnsi="Times New Roman" w:eastAsia="仿宋_GB2312"/>
          <w:color w:val="000000"/>
          <w:kern w:val="0"/>
          <w:sz w:val="32"/>
          <w:szCs w:val="32"/>
        </w:rPr>
      </w:pPr>
    </w:p>
    <w:p w14:paraId="4D075704">
      <w:pPr>
        <w:suppressAutoHyphens/>
        <w:bidi w:val="0"/>
        <w:spacing w:line="600" w:lineRule="exact"/>
        <w:ind w:firstLine="3680" w:firstLineChars="1150"/>
        <w:rPr>
          <w:rFonts w:hint="eastAsia" w:ascii="Times New Roman" w:hAnsi="Times New Roman" w:eastAsia="仿宋_GB2312"/>
          <w:color w:val="000000"/>
          <w:kern w:val="0"/>
          <w:sz w:val="32"/>
          <w:szCs w:val="32"/>
        </w:rPr>
      </w:pPr>
    </w:p>
    <w:p w14:paraId="61147EAA">
      <w:pPr>
        <w:suppressAutoHyphens/>
        <w:bidi w:val="0"/>
        <w:spacing w:line="600" w:lineRule="exact"/>
        <w:ind w:firstLine="3680" w:firstLineChars="1150"/>
        <w:rPr>
          <w:rFonts w:hint="eastAsia" w:ascii="Times New Roman" w:hAnsi="Times New Roman" w:eastAsia="仿宋_GB2312"/>
          <w:color w:val="000000"/>
          <w:kern w:val="0"/>
          <w:sz w:val="32"/>
          <w:szCs w:val="32"/>
        </w:rPr>
      </w:pPr>
    </w:p>
    <w:p w14:paraId="50B7DE46">
      <w:pPr>
        <w:suppressAutoHyphens/>
        <w:bidi w:val="0"/>
        <w:spacing w:line="600" w:lineRule="exact"/>
        <w:ind w:firstLine="3977" w:firstLineChars="1243"/>
        <w:rPr>
          <w:rFonts w:ascii="Times New Roman" w:hAnsi="Times New Roman" w:eastAsia="仿宋_GB2312"/>
          <w:color w:val="000000"/>
          <w:kern w:val="0"/>
          <w:sz w:val="32"/>
          <w:szCs w:val="32"/>
        </w:rPr>
      </w:pPr>
      <w:r>
        <w:rPr>
          <w:rFonts w:hint="eastAsia" w:ascii="Times New Roman" w:hAnsi="Times New Roman" w:eastAsia="仿宋_GB2312"/>
          <w:color w:val="000000"/>
          <w:kern w:val="0"/>
          <w:sz w:val="32"/>
          <w:szCs w:val="32"/>
        </w:rPr>
        <w:t>全民科学素质纲要实施工作办公室</w:t>
      </w:r>
    </w:p>
    <w:p w14:paraId="4946F37B">
      <w:pPr>
        <w:suppressAutoHyphens/>
        <w:bidi w:val="0"/>
        <w:spacing w:line="600" w:lineRule="exact"/>
        <w:ind w:firstLine="4640" w:firstLineChars="1450"/>
        <w:rPr>
          <w:rFonts w:ascii="Times New Roman" w:hAnsi="Times New Roman" w:eastAsia="仿宋_GB2312"/>
          <w:color w:val="000000"/>
          <w:kern w:val="0"/>
          <w:sz w:val="32"/>
          <w:szCs w:val="32"/>
        </w:rPr>
      </w:pPr>
      <w:r>
        <w:rPr>
          <w:rFonts w:hint="eastAsia" w:ascii="Times New Roman" w:hAnsi="Times New Roman" w:eastAsia="仿宋_GB2312"/>
          <w:color w:val="000000"/>
          <w:kern w:val="0"/>
          <w:sz w:val="32"/>
          <w:szCs w:val="32"/>
        </w:rPr>
        <w:t>（中国科协办公厅代章）</w:t>
      </w:r>
    </w:p>
    <w:p w14:paraId="0C928648">
      <w:pPr>
        <w:suppressAutoHyphens/>
        <w:bidi w:val="0"/>
        <w:spacing w:line="600" w:lineRule="exact"/>
        <w:ind w:right="1260" w:rightChars="600"/>
        <w:jc w:val="right"/>
        <w:rPr>
          <w:rFonts w:ascii="Times New Roman" w:hAnsi="Times New Roman" w:eastAsia="仿宋_GB2312"/>
          <w:color w:val="000000"/>
          <w:sz w:val="32"/>
          <w:szCs w:val="32"/>
        </w:rPr>
      </w:pPr>
      <w:r>
        <w:rPr>
          <w:rFonts w:hint="eastAsia" w:ascii="Times New Roman" w:hAnsi="Times New Roman" w:eastAsia="仿宋_GB2312"/>
          <w:color w:val="000000"/>
          <w:sz w:val="32"/>
          <w:szCs w:val="32"/>
        </w:rPr>
        <w:t>2026年6月9日</w:t>
      </w:r>
    </w:p>
    <w:p w14:paraId="2F9F2944">
      <w:pPr>
        <w:suppressAutoHyphens/>
        <w:bidi w:val="0"/>
        <w:spacing w:before="156" w:beforeLines="50" w:after="468" w:afterLines="150" w:line="600" w:lineRule="exact"/>
        <w:ind w:firstLine="880"/>
        <w:jc w:val="center"/>
        <w:rPr>
          <w:rFonts w:hint="eastAsia" w:ascii="Times New Roman" w:hAnsi="Times New Roman"/>
        </w:rPr>
      </w:pPr>
      <w:r>
        <w:rPr>
          <w:rFonts w:ascii="Times New Roman" w:hAnsi="Times New Roman" w:eastAsia="小标宋"/>
          <w:sz w:val="44"/>
          <w:szCs w:val="44"/>
        </w:rPr>
        <w:br w:type="page"/>
      </w:r>
    </w:p>
    <w:p w14:paraId="563F3073">
      <w:pPr>
        <w:suppressAutoHyphens/>
        <w:bidi w:val="0"/>
        <w:spacing w:before="156" w:beforeLines="50" w:after="468" w:afterLines="150" w:line="600" w:lineRule="exact"/>
        <w:ind w:firstLine="880"/>
        <w:jc w:val="center"/>
        <w:rPr>
          <w:rFonts w:hint="eastAsia" w:ascii="Times New Roman" w:hAnsi="Times New Roman"/>
        </w:rPr>
      </w:pPr>
    </w:p>
    <w:p w14:paraId="3BC92E2C">
      <w:pPr>
        <w:suppressAutoHyphens/>
        <w:bidi w:val="0"/>
        <w:spacing w:before="156" w:beforeLines="50" w:after="468" w:afterLines="150" w:line="600" w:lineRule="exact"/>
        <w:ind w:firstLine="880"/>
        <w:jc w:val="center"/>
        <w:rPr>
          <w:rFonts w:hint="eastAsia" w:ascii="Times New Roman" w:hAnsi="Times New Roman"/>
        </w:rPr>
      </w:pPr>
    </w:p>
    <w:p w14:paraId="3993F757">
      <w:pPr>
        <w:suppressAutoHyphens/>
        <w:bidi w:val="0"/>
        <w:spacing w:before="156" w:beforeLines="50" w:after="468" w:afterLines="150" w:line="600" w:lineRule="exact"/>
        <w:ind w:firstLine="880"/>
        <w:jc w:val="center"/>
        <w:rPr>
          <w:rFonts w:hint="eastAsia" w:ascii="Times New Roman" w:hAnsi="Times New Roman"/>
        </w:rPr>
      </w:pPr>
    </w:p>
    <w:p w14:paraId="4CAC78AC">
      <w:pPr>
        <w:suppressAutoHyphens/>
        <w:bidi w:val="0"/>
        <w:spacing w:before="156" w:beforeLines="50" w:after="468" w:afterLines="150" w:line="600" w:lineRule="exact"/>
        <w:ind w:firstLine="880"/>
        <w:jc w:val="center"/>
        <w:rPr>
          <w:rFonts w:hint="eastAsia" w:ascii="Times New Roman" w:hAnsi="Times New Roman"/>
        </w:rPr>
      </w:pPr>
    </w:p>
    <w:p w14:paraId="0911D528">
      <w:pPr>
        <w:suppressAutoHyphens/>
        <w:bidi w:val="0"/>
        <w:spacing w:before="156" w:beforeLines="50" w:after="468" w:afterLines="150" w:line="1000" w:lineRule="exact"/>
        <w:ind w:firstLine="879"/>
        <w:jc w:val="center"/>
        <w:rPr>
          <w:rFonts w:hint="eastAsia" w:ascii="Times New Roman" w:hAnsi="Times New Roman"/>
        </w:rPr>
      </w:pPr>
    </w:p>
    <w:tbl>
      <w:tblPr>
        <w:tblStyle w:val="5"/>
        <w:tblW w:w="9001" w:type="dxa"/>
        <w:jc w:val="center"/>
        <w:tblBorders>
          <w:top w:val="single" w:color="auto" w:sz="12" w:space="0"/>
          <w:left w:val="none" w:color="auto" w:sz="0" w:space="0"/>
          <w:bottom w:val="single" w:color="auto" w:sz="12" w:space="0"/>
          <w:right w:val="none" w:color="auto" w:sz="0" w:space="0"/>
          <w:insideH w:val="single" w:color="auto" w:sz="6" w:space="0"/>
          <w:insideV w:val="none" w:color="auto" w:sz="0" w:space="0"/>
        </w:tblBorders>
        <w:tblLayout w:type="fixed"/>
        <w:tblCellMar>
          <w:top w:w="0" w:type="dxa"/>
          <w:left w:w="28" w:type="dxa"/>
          <w:bottom w:w="0" w:type="dxa"/>
          <w:right w:w="28" w:type="dxa"/>
        </w:tblCellMar>
      </w:tblPr>
      <w:tblGrid>
        <w:gridCol w:w="5686"/>
        <w:gridCol w:w="3315"/>
      </w:tblGrid>
      <w:tr w14:paraId="2C68FE89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6" w:space="0"/>
            <w:insideV w:val="none" w:color="auto" w:sz="0" w:space="0"/>
          </w:tblBorders>
        </w:tblPrEx>
        <w:trPr>
          <w:trHeight w:val="567" w:hRule="atLeast"/>
          <w:jc w:val="center"/>
        </w:trPr>
        <w:tc>
          <w:tcPr>
            <w:tcW w:w="9001" w:type="dxa"/>
            <w:gridSpan w:val="2"/>
            <w:noWrap w:val="0"/>
            <w:vAlign w:val="top"/>
          </w:tcPr>
          <w:p w14:paraId="14D47762">
            <w:pPr>
              <w:pStyle w:val="3"/>
              <w:suppressAutoHyphens/>
              <w:bidi w:val="0"/>
              <w:snapToGrid/>
              <w:spacing w:line="480" w:lineRule="exact"/>
              <w:ind w:firstLine="268" w:firstLineChars="100"/>
              <w:rPr>
                <w:rFonts w:hint="eastAsia" w:ascii="Times New Roman" w:hAnsi="Times New Roman" w:eastAsia="仿宋_GB2312"/>
                <w:color w:val="000000"/>
                <w:spacing w:val="-2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color w:val="000000"/>
                <w:spacing w:val="-6"/>
                <w:sz w:val="28"/>
                <w:szCs w:val="28"/>
              </w:rPr>
              <w:t>抄送：</w:t>
            </w:r>
            <w:r>
              <w:rPr>
                <w:rFonts w:hint="eastAsia" w:ascii="Times New Roman" w:hAnsi="Times New Roman" w:eastAsia="仿宋_GB2312"/>
                <w:color w:val="000000"/>
                <w:spacing w:val="-2"/>
                <w:sz w:val="28"/>
                <w:szCs w:val="28"/>
              </w:rPr>
              <w:t>各省、自治区、直辖市、新疆生产建设兵团、副省级城市党委组</w:t>
            </w:r>
          </w:p>
          <w:p w14:paraId="4245115E">
            <w:pPr>
              <w:pStyle w:val="3"/>
              <w:suppressAutoHyphens/>
              <w:bidi w:val="0"/>
              <w:snapToGrid/>
              <w:spacing w:line="480" w:lineRule="exact"/>
              <w:ind w:firstLine="1104" w:firstLineChars="400"/>
              <w:rPr>
                <w:rFonts w:hint="eastAsia" w:ascii="Times New Roman" w:hAnsi="Times New Roman" w:eastAsia="仿宋_GB2312"/>
                <w:color w:val="000000"/>
                <w:spacing w:val="-2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color w:val="000000"/>
                <w:spacing w:val="-2"/>
                <w:sz w:val="28"/>
                <w:szCs w:val="28"/>
              </w:rPr>
              <w:t>织部、党委宣传部、发展改革委、教育厅（教委、教育局）、科技</w:t>
            </w:r>
          </w:p>
          <w:p w14:paraId="07EE919E">
            <w:pPr>
              <w:pStyle w:val="3"/>
              <w:suppressAutoHyphens/>
              <w:bidi w:val="0"/>
              <w:snapToGrid/>
              <w:spacing w:line="480" w:lineRule="exact"/>
              <w:ind w:left="1117" w:leftChars="532"/>
              <w:rPr>
                <w:rFonts w:hint="eastAsia" w:ascii="Times New Roman" w:hAnsi="Times New Roman" w:eastAsia="仿宋_GB2312"/>
                <w:color w:val="000000"/>
                <w:spacing w:val="-6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color w:val="000000"/>
                <w:spacing w:val="-2"/>
                <w:sz w:val="28"/>
                <w:szCs w:val="28"/>
              </w:rPr>
              <w:t>厅（科委、科技局）、工业和信息化主管部门、民（宗）委（厅、局）、民政厅（局）、财政厅（局）、人力资源社会保障厅（局）、自然资源主管部门、生态环境厅（局）、交通运输厅（局、委）、水利（水务）厅（局）、农业农村（农牧）厅（局、委）、文化和旅游厅（局）、卫生健康委、应急管理厅（局）、市场监管局（厅、委）、广播电视局、体育行政部门、统计局、气象局、林业和草原主管部门、文物局、地震局、总工会、团委、妇联，中国科学院、中国社科院、中国工程院院属各单位，有关单位。</w:t>
            </w:r>
          </w:p>
        </w:tc>
      </w:tr>
      <w:tr w14:paraId="2ABE96E4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6" w:space="0"/>
            <w:insideV w:val="none" w:color="auto" w:sz="0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67" w:hRule="atLeast"/>
          <w:jc w:val="center"/>
        </w:trPr>
        <w:tc>
          <w:tcPr>
            <w:tcW w:w="5686" w:type="dxa"/>
            <w:noWrap w:val="0"/>
            <w:vAlign w:val="top"/>
          </w:tcPr>
          <w:p w14:paraId="7C2904E7">
            <w:pPr>
              <w:tabs>
                <w:tab w:val="right" w:pos="9720"/>
              </w:tabs>
              <w:suppressAutoHyphens/>
              <w:overflowPunct w:val="0"/>
              <w:autoSpaceDE w:val="0"/>
              <w:autoSpaceDN w:val="0"/>
              <w:bidi w:val="0"/>
              <w:adjustRightInd w:val="0"/>
              <w:spacing w:line="600" w:lineRule="exact"/>
              <w:ind w:firstLine="280" w:firstLineChars="100"/>
              <w:textAlignment w:val="bottom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sz w:val="28"/>
                <w:szCs w:val="28"/>
              </w:rPr>
              <w:t>全民科学素质纲要实施工作办公室</w:t>
            </w:r>
          </w:p>
        </w:tc>
        <w:tc>
          <w:tcPr>
            <w:tcW w:w="3315" w:type="dxa"/>
            <w:noWrap w:val="0"/>
            <w:vAlign w:val="top"/>
          </w:tcPr>
          <w:p w14:paraId="1D807BE4">
            <w:pPr>
              <w:tabs>
                <w:tab w:val="right" w:pos="9720"/>
              </w:tabs>
              <w:suppressAutoHyphens/>
              <w:overflowPunct w:val="0"/>
              <w:autoSpaceDE w:val="0"/>
              <w:autoSpaceDN w:val="0"/>
              <w:bidi w:val="0"/>
              <w:adjustRightInd w:val="0"/>
              <w:spacing w:line="600" w:lineRule="exact"/>
              <w:ind w:right="210" w:rightChars="100"/>
              <w:jc w:val="right"/>
              <w:textAlignment w:val="bottom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sz w:val="28"/>
                <w:szCs w:val="28"/>
              </w:rPr>
              <w:t xml:space="preserve">2026年6月10日印发  </w:t>
            </w:r>
          </w:p>
        </w:tc>
      </w:tr>
    </w:tbl>
    <w:p w14:paraId="30E0768A">
      <w:pPr>
        <w:suppressAutoHyphens/>
        <w:bidi w:val="0"/>
        <w:spacing w:line="20" w:lineRule="exact"/>
        <w:ind w:firstLine="879"/>
        <w:jc w:val="center"/>
        <w:rPr>
          <w:rFonts w:hint="eastAsia" w:ascii="Times New Roman" w:hAnsi="Times New Roman"/>
        </w:rPr>
      </w:pPr>
    </w:p>
    <w:p w14:paraId="78634F8D">
      <w:pPr>
        <w:suppressAutoHyphens/>
        <w:bidi w:val="0"/>
        <w:spacing w:line="20" w:lineRule="exact"/>
        <w:rPr>
          <w:rFonts w:hint="eastAsia" w:ascii="Times New Roman" w:hAnsi="Times New Roman"/>
          <w:lang w:val="en-US" w:eastAsia="zh-CN"/>
        </w:rPr>
      </w:pPr>
    </w:p>
    <w:p w14:paraId="1C432DF5"/>
    <w:sectPr>
      <w:headerReference r:id="rId5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2098" w:right="1474" w:bottom="1984" w:left="1588" w:header="0" w:footer="1644" w:gutter="0"/>
      <w:pgNumType w:fmt="decimal"/>
      <w:cols w:space="720" w:num="1"/>
      <w:titlePg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1" w:fontKey="{F3C166FB-BEFC-4CD9-A1FF-7E60E3E1DA7E}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小标宋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  <w:embedRegular r:id="rId2" w:fontKey="{573926C4-2CAD-4F10-8124-EB6193E90B19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3" w:fontKey="{9D120D42-BCFF-4D3F-A8D6-5EB0E33A396B}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  <w:embedRegular r:id="rId4" w:fontKey="{70ABFFB6-7472-4AB8-8A3E-11C0089A0ED7}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  <w:embedRegular r:id="rId5" w:fontKey="{05E51C9A-A996-416D-ADB3-396961589CC3}"/>
  </w:font>
  <w:font w:name="楷体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  <w:embedRegular r:id="rId6" w:fontKey="{6A080A1C-7EE8-4D3A-AF6E-684FC562ED7D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0F5FB6C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15875">
                        <a:noFill/>
                      </a:ln>
                    </wps:spPr>
                    <wps:txbx>
                      <w:txbxContent>
                        <w:p w14:paraId="7E9D4737">
                          <w:pPr>
                            <w:pStyle w:val="3"/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t>6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">
              <v:fill on="f" focussize="0,0"/>
              <v:stroke on="f" weight="1.25pt"/>
              <v:imagedata o:title=""/>
              <o:lock v:ext="edit" aspectratio="f"/>
              <v:textbox inset="0mm,0mm,0mm,0mm" style="mso-fit-shape-to-text:t;">
                <w:txbxContent>
                  <w:p w14:paraId="7E9D4737">
                    <w:pPr>
                      <w:pStyle w:val="3"/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</w:pP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t>6</w: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337456E">
    <w:pPr>
      <w:pStyle w:val="3"/>
      <w:ind w:firstLine="439" w:firstLineChars="157"/>
      <w:rPr>
        <w:rFonts w:ascii="宋体" w:hAnsi="宋体"/>
        <w:sz w:val="28"/>
        <w:szCs w:val="28"/>
      </w:rPr>
    </w:pPr>
    <w:r>
      <w:rPr>
        <w:rFonts w:ascii="宋体" w:hAnsi="宋体"/>
        <w:sz w:val="28"/>
        <w:szCs w:val="28"/>
      </w:rPr>
      <w:fldChar w:fldCharType="begin"/>
    </w:r>
    <w:r>
      <w:rPr>
        <w:rFonts w:ascii="宋体" w:hAnsi="宋体"/>
        <w:sz w:val="28"/>
        <w:szCs w:val="28"/>
      </w:rPr>
      <w:instrText xml:space="preserve">PAGE   \* MERGEFORMAT</w:instrText>
    </w:r>
    <w:r>
      <w:rPr>
        <w:rFonts w:ascii="宋体" w:hAnsi="宋体"/>
        <w:sz w:val="28"/>
        <w:szCs w:val="28"/>
      </w:rPr>
      <w:fldChar w:fldCharType="separate"/>
    </w:r>
    <w:r>
      <w:rPr>
        <w:rFonts w:ascii="宋体" w:hAnsi="宋体"/>
        <w:sz w:val="28"/>
        <w:szCs w:val="28"/>
        <w:lang w:val="zh-CN"/>
      </w:rPr>
      <w:t>-</w:t>
    </w:r>
    <w:r>
      <w:rPr>
        <w:rFonts w:ascii="宋体" w:hAnsi="宋体"/>
        <w:sz w:val="28"/>
        <w:szCs w:val="28"/>
      </w:rPr>
      <w:t xml:space="preserve"> 2 -</w:t>
    </w:r>
    <w:r>
      <w:rPr>
        <w:rFonts w:ascii="宋体" w:hAnsi="宋体"/>
        <w:sz w:val="28"/>
        <w:szCs w:val="28"/>
      </w:rPr>
      <w:fldChar w:fldCharType="end"/>
    </w:r>
  </w:p>
  <w:p w14:paraId="6E4BE02F"/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51142C4">
    <w:pPr>
      <w:pStyle w:val="4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11F77B5">
    <w:pPr>
      <w:pStyle w:val="4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81FA620">
    <w:pPr>
      <w:pStyle w:val="4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8284DD9"/>
    <w:rsid w:val="385D0832"/>
    <w:rsid w:val="68284D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9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1"/>
    <w:next w:val="1"/>
    <w:qFormat/>
    <w:uiPriority w:val="9"/>
    <w:pPr>
      <w:keepNext/>
      <w:keepLines/>
      <w:widowControl w:val="0"/>
      <w:spacing w:line="560" w:lineRule="exact"/>
      <w:ind w:firstLine="880" w:firstLineChars="200"/>
      <w:jc w:val="both"/>
      <w:outlineLvl w:val="0"/>
    </w:pPr>
    <w:rPr>
      <w:rFonts w:ascii="Cambria" w:hAnsi="Cambria" w:eastAsia="黑体" w:cs="Times New Roman"/>
      <w:color w:val="000000"/>
      <w:kern w:val="2"/>
      <w:sz w:val="32"/>
      <w:szCs w:val="32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unhideWhenUsed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7">
    <w:name w:val="Strong"/>
    <w:qFormat/>
    <w:uiPriority w:val="0"/>
    <w:rPr>
      <w:rFonts w:ascii="Times New Roman" w:hAnsi="Times New Roman" w:eastAsia="宋体" w:cs="Times New Roman"/>
      <w:b/>
    </w:rPr>
  </w:style>
  <w:style w:type="character" w:styleId="8">
    <w:name w:val="Emphasis"/>
    <w:qFormat/>
    <w:uiPriority w:val="0"/>
    <w:rPr>
      <w:rFonts w:ascii="Times New Roman" w:hAnsi="Times New Roman" w:eastAsia="宋体" w:cs="Times New Roman"/>
      <w:i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theme" Target="theme/theme1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12</Pages>
  <Words>558</Words>
  <Characters>573</Characters>
  <Lines>0</Lines>
  <Paragraphs>0</Paragraphs>
  <TotalTime>0</TotalTime>
  <ScaleCrop>false</ScaleCrop>
  <LinksUpToDate>false</LinksUpToDate>
  <CharactersWithSpaces>573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2026-06-16T09:03:00Z</dcterms:created>
  <dc:creator>杨泰一</dc:creator>
  <cp:lastModifiedBy>妍筱曦feelly</cp:lastModifiedBy>
  <dcterms:modified xsi:type="dcterms:W3CDTF">2026-06-22T07:25:44Z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CB0119DF327645EAA941639FE8D49821_11</vt:lpwstr>
  </property>
  <property fmtid="{D5CDD505-2E9C-101B-9397-08002B2CF9AE}" pid="4" name="KSOTemplateDocerSaveRecord">
    <vt:lpwstr>eyJoZGlkIjoiNTA5NTIyNGIyZGEwMGYxYzQzNzJkYzk3OTYxOTdhZjYiLCJ1c2VySWQiOiIzNDg3NjYyODcifQ==</vt:lpwstr>
  </property>
</Properties>
</file>